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FD8E" w14:textId="77777777" w:rsidR="000D34E1" w:rsidRPr="009459B4" w:rsidRDefault="00783B67" w:rsidP="000D34E1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9459B4">
        <w:rPr>
          <w:rFonts w:ascii="Aptos" w:hAnsi="Aptos" w:cs="Arial"/>
          <w:b/>
          <w:bCs/>
          <w:sz w:val="28"/>
          <w:szCs w:val="28"/>
        </w:rPr>
        <w:t xml:space="preserve">Агенцији за просторно планирање и урбанизам </w:t>
      </w:r>
    </w:p>
    <w:p w14:paraId="7BF08FFB" w14:textId="45A3B26E" w:rsidR="00783B67" w:rsidRPr="009459B4" w:rsidRDefault="00783B67" w:rsidP="000D34E1">
      <w:pPr>
        <w:spacing w:after="0" w:line="240" w:lineRule="auto"/>
        <w:jc w:val="center"/>
        <w:rPr>
          <w:rFonts w:ascii="Aptos" w:hAnsi="Aptos" w:cs="Arial"/>
          <w:b/>
          <w:bCs/>
          <w:sz w:val="28"/>
          <w:szCs w:val="28"/>
        </w:rPr>
      </w:pPr>
      <w:r w:rsidRPr="009459B4">
        <w:rPr>
          <w:rFonts w:ascii="Aptos" w:hAnsi="Aptos" w:cs="Arial"/>
          <w:b/>
          <w:bCs/>
          <w:sz w:val="28"/>
          <w:szCs w:val="28"/>
        </w:rPr>
        <w:t>Републике Србије</w:t>
      </w:r>
    </w:p>
    <w:p w14:paraId="30D3CF91" w14:textId="77777777" w:rsidR="000D34E1" w:rsidRPr="009459B4" w:rsidRDefault="000D34E1" w:rsidP="000D34E1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</w:p>
    <w:p w14:paraId="700106FC" w14:textId="48CEB3BC" w:rsidR="000D34E1" w:rsidRPr="009459B4" w:rsidRDefault="00783B67" w:rsidP="000D34E1">
      <w:pPr>
        <w:spacing w:after="0" w:line="240" w:lineRule="auto"/>
        <w:jc w:val="right"/>
        <w:rPr>
          <w:rFonts w:ascii="Aptos" w:hAnsi="Aptos" w:cs="Arial"/>
        </w:rPr>
      </w:pPr>
      <w:r w:rsidRPr="009459B4">
        <w:rPr>
          <w:rFonts w:ascii="Aptos" w:hAnsi="Aptos" w:cs="Arial"/>
        </w:rPr>
        <w:t>Краља Милутина 10а</w:t>
      </w:r>
    </w:p>
    <w:p w14:paraId="62BF67C6" w14:textId="64FD99C5" w:rsidR="00783B67" w:rsidRPr="009459B4" w:rsidRDefault="00783B67" w:rsidP="000D34E1">
      <w:pPr>
        <w:spacing w:after="0" w:line="240" w:lineRule="auto"/>
        <w:jc w:val="right"/>
        <w:rPr>
          <w:rFonts w:ascii="Aptos" w:hAnsi="Aptos" w:cs="Arial"/>
          <w:sz w:val="24"/>
          <w:szCs w:val="24"/>
        </w:rPr>
      </w:pPr>
      <w:r w:rsidRPr="009459B4">
        <w:rPr>
          <w:rFonts w:ascii="Aptos" w:hAnsi="Aptos" w:cs="Arial"/>
        </w:rPr>
        <w:t>11000 Београд</w:t>
      </w:r>
    </w:p>
    <w:p w14:paraId="72D1E488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62A551C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605A7461" w14:textId="77777777" w:rsidR="000D34E1" w:rsidRPr="009459B4" w:rsidRDefault="000D34E1" w:rsidP="000D34E1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76D37029" w14:textId="29936823" w:rsidR="000D34E1" w:rsidRPr="009459B4" w:rsidRDefault="00783B67" w:rsidP="00505ECC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Cyrl-RS" w:eastAsia="sr-Latn-RS"/>
        </w:rPr>
        <w:t>Предмет:</w:t>
      </w:r>
      <w:r w:rsidR="009459B4">
        <w:rPr>
          <w:rFonts w:ascii="Aptos" w:eastAsia="Times New Roman" w:hAnsi="Aptos" w:cs="Arial"/>
          <w:b/>
          <w:bCs/>
          <w:lang w:val="sr-Cyrl-RS" w:eastAsia="sr-Latn-RS"/>
        </w:rPr>
        <w:tab/>
      </w:r>
      <w:r w:rsidR="00047817" w:rsidRPr="009459B4">
        <w:rPr>
          <w:rFonts w:ascii="Aptos" w:eastAsia="Times New Roman" w:hAnsi="Aptos" w:cs="Arial"/>
          <w:lang w:val="sr-Latn-RS" w:eastAsia="sr-Latn-RS"/>
        </w:rPr>
        <w:t>П</w:t>
      </w:r>
      <w:r w:rsidRPr="009459B4">
        <w:rPr>
          <w:rFonts w:ascii="Aptos" w:eastAsia="Times New Roman" w:hAnsi="Aptos" w:cs="Arial"/>
          <w:lang w:val="sr-Cyrl-RS" w:eastAsia="sr-Latn-RS"/>
        </w:rPr>
        <w:t xml:space="preserve">римедбе на рани јавни увид </w:t>
      </w:r>
      <w:r w:rsidR="00553586">
        <w:rPr>
          <w:rFonts w:ascii="Aptos" w:eastAsia="Times New Roman" w:hAnsi="Aptos" w:cs="Arial"/>
          <w:lang w:val="sr-Cyrl-RS" w:eastAsia="sr-Latn-RS"/>
        </w:rPr>
        <w:t xml:space="preserve">поводом израде </w:t>
      </w:r>
      <w:r w:rsidR="00047817" w:rsidRPr="009459B4">
        <w:rPr>
          <w:rFonts w:ascii="Aptos" w:eastAsia="Times New Roman" w:hAnsi="Aptos" w:cs="Arial"/>
          <w:lang w:val="sr-Latn-RS" w:eastAsia="sr-Latn-RS"/>
        </w:rPr>
        <w:t xml:space="preserve">Просторног плана 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553586">
        <w:rPr>
          <w:rFonts w:ascii="Aptos" w:eastAsia="Times New Roman" w:hAnsi="Aptos" w:cs="Arial"/>
          <w:lang w:val="sr-Cyrl-RS" w:eastAsia="sr-Latn-RS"/>
        </w:rPr>
        <w:br/>
        <w:t xml:space="preserve">                                </w:t>
      </w:r>
      <w:r w:rsidR="00047817" w:rsidRPr="009459B4">
        <w:rPr>
          <w:rFonts w:ascii="Aptos" w:eastAsia="Times New Roman" w:hAnsi="Aptos" w:cs="Arial"/>
          <w:lang w:val="sr-Latn-RS" w:eastAsia="sr-Latn-RS"/>
        </w:rPr>
        <w:t>подручја посебне намене (ППППН) рудног лежишта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047817" w:rsidRPr="009459B4">
        <w:rPr>
          <w:rFonts w:ascii="Aptos" w:eastAsia="Times New Roman" w:hAnsi="Aptos" w:cs="Arial"/>
          <w:lang w:val="sr-Latn-RS" w:eastAsia="sr-Latn-RS"/>
        </w:rPr>
        <w:t xml:space="preserve">„Чока Ракита“ у </w:t>
      </w:r>
      <w:r w:rsidR="00553586">
        <w:rPr>
          <w:rFonts w:ascii="Aptos" w:eastAsia="Times New Roman" w:hAnsi="Aptos" w:cs="Arial"/>
          <w:lang w:val="sr-Cyrl-RS" w:eastAsia="sr-Latn-RS"/>
        </w:rPr>
        <w:t xml:space="preserve"> </w:t>
      </w:r>
      <w:r w:rsidR="00553586">
        <w:rPr>
          <w:rFonts w:ascii="Aptos" w:eastAsia="Times New Roman" w:hAnsi="Aptos" w:cs="Arial"/>
          <w:lang w:val="sr-Cyrl-RS" w:eastAsia="sr-Latn-RS"/>
        </w:rPr>
        <w:br/>
        <w:t xml:space="preserve">                                </w:t>
      </w:r>
      <w:r w:rsidR="00047817" w:rsidRPr="009459B4">
        <w:rPr>
          <w:rFonts w:ascii="Aptos" w:eastAsia="Times New Roman" w:hAnsi="Aptos" w:cs="Arial"/>
          <w:lang w:val="sr-Latn-RS" w:eastAsia="sr-Latn-RS"/>
        </w:rPr>
        <w:t>рејону Црног врха</w:t>
      </w:r>
    </w:p>
    <w:p w14:paraId="03194691" w14:textId="77777777" w:rsidR="009459B4" w:rsidRPr="009459B4" w:rsidRDefault="009459B4" w:rsidP="000D34E1">
      <w:pPr>
        <w:spacing w:after="0" w:line="240" w:lineRule="auto"/>
        <w:rPr>
          <w:rFonts w:ascii="Aptos" w:eastAsia="Times New Roman" w:hAnsi="Aptos" w:cs="Arial"/>
          <w:b/>
          <w:bCs/>
          <w:lang w:val="sr-Cyrl-RS" w:eastAsia="sr-Latn-RS"/>
        </w:rPr>
      </w:pPr>
    </w:p>
    <w:p w14:paraId="275197C8" w14:textId="6EEEB9FA" w:rsidR="000D34E1" w:rsidRPr="009459B4" w:rsidRDefault="00047817" w:rsidP="000D34E1">
      <w:pPr>
        <w:spacing w:after="0" w:line="240" w:lineRule="auto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Подносилац примедб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t>и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: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br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0D34E1" w:rsidRPr="004E1388" w14:paraId="00654D44" w14:textId="77777777" w:rsidTr="00575274">
        <w:trPr>
          <w:trHeight w:val="680"/>
        </w:trPr>
        <w:tc>
          <w:tcPr>
            <w:tcW w:w="2547" w:type="dxa"/>
            <w:vAlign w:val="center"/>
          </w:tcPr>
          <w:p w14:paraId="37B7C0C9" w14:textId="004CFB3B" w:rsidR="000D34E1" w:rsidRPr="009459B4" w:rsidRDefault="008C541C" w:rsidP="000D34E1">
            <w:pPr>
              <w:rPr>
                <w:rFonts w:ascii="Aptos" w:eastAsia="Times New Roman" w:hAnsi="Aptos" w:cs="Arial"/>
                <w:lang w:val="sr-Latn-RS" w:eastAsia="sr-Latn-RS"/>
              </w:rPr>
            </w:pPr>
            <w:r>
              <w:rPr>
                <w:rFonts w:ascii="Aptos" w:eastAsia="Times New Roman" w:hAnsi="Aptos" w:cs="Arial"/>
                <w:lang w:val="sr-Cyrl-RS" w:eastAsia="sr-Latn-RS"/>
              </w:rPr>
              <w:t>Н</w:t>
            </w:r>
            <w:r w:rsidR="000D34E1" w:rsidRPr="009459B4">
              <w:rPr>
                <w:rFonts w:ascii="Aptos" w:eastAsia="Times New Roman" w:hAnsi="Aptos" w:cs="Arial"/>
                <w:lang w:val="sr-Latn-RS" w:eastAsia="sr-Latn-RS"/>
              </w:rPr>
              <w:t>азив организације:</w:t>
            </w:r>
          </w:p>
        </w:tc>
        <w:tc>
          <w:tcPr>
            <w:tcW w:w="6083" w:type="dxa"/>
            <w:vAlign w:val="center"/>
          </w:tcPr>
          <w:p w14:paraId="18B55AB3" w14:textId="463A18EC" w:rsidR="000D34E1" w:rsidRPr="009459B4" w:rsidRDefault="000D34E1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</w:p>
        </w:tc>
      </w:tr>
    </w:tbl>
    <w:p w14:paraId="6E9512E0" w14:textId="77777777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744D" w:rsidRPr="009459B4" w14:paraId="50B72916" w14:textId="77777777" w:rsidTr="00C52251">
        <w:trPr>
          <w:trHeight w:val="680"/>
        </w:trPr>
        <w:tc>
          <w:tcPr>
            <w:tcW w:w="8630" w:type="dxa"/>
            <w:vAlign w:val="center"/>
          </w:tcPr>
          <w:p w14:paraId="308746E2" w14:textId="30EE13C9" w:rsidR="0002744D" w:rsidRPr="009459B4" w:rsidRDefault="0002744D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  <w:r w:rsidRPr="009459B4">
              <w:rPr>
                <w:rFonts w:ascii="Aptos" w:eastAsia="Times New Roman" w:hAnsi="Aptos" w:cs="Arial"/>
                <w:lang w:val="sr-Latn-RS" w:eastAsia="sr-Latn-RS"/>
              </w:rPr>
              <w:t>Адреса:</w:t>
            </w:r>
            <w:r w:rsidRPr="009459B4">
              <w:rPr>
                <w:rFonts w:ascii="Aptos" w:eastAsia="Times New Roman" w:hAnsi="Aptos" w:cs="Arial"/>
                <w:lang w:val="sr-Cyrl-RS" w:eastAsia="sr-Latn-RS"/>
              </w:rPr>
              <w:t xml:space="preserve"> </w:t>
            </w:r>
          </w:p>
        </w:tc>
      </w:tr>
    </w:tbl>
    <w:p w14:paraId="18B13BD1" w14:textId="6FDB6517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083"/>
      </w:tblGrid>
      <w:tr w:rsidR="000D34E1" w:rsidRPr="008C541C" w14:paraId="2B0A7CB8" w14:textId="77777777" w:rsidTr="00575274">
        <w:trPr>
          <w:trHeight w:val="680"/>
        </w:trPr>
        <w:tc>
          <w:tcPr>
            <w:tcW w:w="2547" w:type="dxa"/>
            <w:vAlign w:val="center"/>
          </w:tcPr>
          <w:p w14:paraId="79BBE4BC" w14:textId="5AAF1E1D" w:rsidR="000D34E1" w:rsidRPr="009459B4" w:rsidRDefault="000D34E1" w:rsidP="000D34E1">
            <w:pPr>
              <w:rPr>
                <w:rFonts w:ascii="Aptos" w:eastAsia="Times New Roman" w:hAnsi="Aptos" w:cs="Arial"/>
                <w:lang w:val="sr-Latn-RS" w:eastAsia="sr-Latn-RS"/>
              </w:rPr>
            </w:pPr>
            <w:r w:rsidRPr="009459B4">
              <w:rPr>
                <w:rFonts w:ascii="Aptos" w:eastAsia="Times New Roman" w:hAnsi="Aptos" w:cs="Arial"/>
                <w:lang w:val="sr-Latn-RS" w:eastAsia="sr-Latn-RS"/>
              </w:rPr>
              <w:t>Контакт (</w:t>
            </w:r>
            <w:r w:rsidRPr="009459B4">
              <w:rPr>
                <w:rFonts w:ascii="Aptos" w:eastAsia="Times New Roman" w:hAnsi="Aptos" w:cs="Arial"/>
                <w:lang w:val="sr-Cyrl-RS" w:eastAsia="sr-Latn-RS"/>
              </w:rPr>
              <w:t>е-адреса</w:t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 xml:space="preserve">, </w:t>
            </w:r>
            <w:r w:rsidR="00F82430">
              <w:rPr>
                <w:rFonts w:ascii="Aptos" w:eastAsia="Times New Roman" w:hAnsi="Aptos" w:cs="Arial"/>
                <w:lang w:val="sr-Cyrl-RS" w:eastAsia="sr-Latn-RS"/>
              </w:rPr>
              <w:br/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>бр. телефона):</w:t>
            </w:r>
          </w:p>
        </w:tc>
        <w:tc>
          <w:tcPr>
            <w:tcW w:w="6083" w:type="dxa"/>
            <w:vAlign w:val="center"/>
          </w:tcPr>
          <w:p w14:paraId="44CA96DD" w14:textId="77777777" w:rsidR="000D34E1" w:rsidRPr="009459B4" w:rsidRDefault="000D34E1" w:rsidP="000D34E1">
            <w:pPr>
              <w:rPr>
                <w:rFonts w:ascii="Aptos" w:eastAsia="Times New Roman" w:hAnsi="Aptos" w:cs="Arial"/>
                <w:b/>
                <w:bCs/>
                <w:lang w:val="sr-Latn-RS" w:eastAsia="sr-Latn-RS"/>
              </w:rPr>
            </w:pPr>
          </w:p>
        </w:tc>
      </w:tr>
    </w:tbl>
    <w:p w14:paraId="02D892FE" w14:textId="625B9E79" w:rsidR="000D34E1" w:rsidRPr="009459B4" w:rsidRDefault="000D34E1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2744D" w:rsidRPr="009459B4" w14:paraId="56CB6657" w14:textId="77777777" w:rsidTr="001E3F43">
        <w:trPr>
          <w:trHeight w:val="680"/>
        </w:trPr>
        <w:tc>
          <w:tcPr>
            <w:tcW w:w="8630" w:type="dxa"/>
            <w:vAlign w:val="center"/>
          </w:tcPr>
          <w:p w14:paraId="12475D1A" w14:textId="0F44F6A0" w:rsidR="0002744D" w:rsidRPr="009459B4" w:rsidRDefault="0002744D" w:rsidP="000D34E1">
            <w:pPr>
              <w:rPr>
                <w:rFonts w:ascii="Aptos" w:eastAsia="Times New Roman" w:hAnsi="Aptos" w:cs="Arial"/>
                <w:b/>
                <w:bCs/>
                <w:lang w:val="sr-Cyrl-RS" w:eastAsia="sr-Latn-RS"/>
              </w:rPr>
            </w:pPr>
            <w:r w:rsidRPr="009459B4">
              <w:rPr>
                <w:rFonts w:ascii="Aptos" w:eastAsia="Times New Roman" w:hAnsi="Aptos" w:cs="Arial"/>
                <w:lang w:val="sr-Cyrl-RS" w:eastAsia="sr-Latn-RS"/>
              </w:rPr>
              <w:t>Датум:</w:t>
            </w:r>
            <w:r w:rsidRPr="009459B4">
              <w:rPr>
                <w:rFonts w:ascii="Aptos" w:eastAsia="Times New Roman" w:hAnsi="Aptos" w:cs="Arial"/>
                <w:lang w:val="sr-Latn-RS" w:eastAsia="sr-Latn-RS"/>
              </w:rPr>
              <w:t xml:space="preserve"> </w:t>
            </w:r>
          </w:p>
        </w:tc>
      </w:tr>
    </w:tbl>
    <w:p w14:paraId="49E4E554" w14:textId="76364271" w:rsidR="00047817" w:rsidRPr="009459B4" w:rsidRDefault="0092223F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Cyrl-RS" w:eastAsia="sr-Latn-RS"/>
        </w:rPr>
        <w:br/>
      </w:r>
      <w:r w:rsidR="00047817" w:rsidRPr="009459B4">
        <w:rPr>
          <w:rFonts w:ascii="Aptos" w:eastAsia="Times New Roman" w:hAnsi="Aptos" w:cs="Arial"/>
          <w:b/>
          <w:bCs/>
          <w:lang w:val="sr-Latn-RS" w:eastAsia="sr-Latn-RS"/>
        </w:rPr>
        <w:t>1. Примедба – процедурални недостатак</w:t>
      </w:r>
    </w:p>
    <w:p w14:paraId="64D50EA1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</w:p>
    <w:p w14:paraId="6D3EA2ED" w14:textId="50D432D6" w:rsidR="00047817" w:rsidRPr="006A6664" w:rsidRDefault="00047817" w:rsidP="006A6664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>Овом примедбом указује се на кључни недостатак у спровођењу раног јавног увида</w:t>
      </w:r>
      <w:r w:rsidR="003A7462">
        <w:rPr>
          <w:rFonts w:ascii="Aptos" w:eastAsia="Times New Roman" w:hAnsi="Aptos" w:cs="Arial"/>
          <w:lang w:val="sr-Cyrl-RS" w:eastAsia="sr-Latn-RS"/>
        </w:rPr>
        <w:t xml:space="preserve"> </w:t>
      </w:r>
      <w:r w:rsidR="006A6664">
        <w:rPr>
          <w:rFonts w:ascii="Aptos" w:eastAsia="Times New Roman" w:hAnsi="Aptos" w:cs="Arial"/>
          <w:lang w:val="sr-Cyrl-RS" w:eastAsia="sr-Latn-RS"/>
        </w:rPr>
        <w:t xml:space="preserve">поводом израде </w:t>
      </w:r>
      <w:r w:rsidR="006A6664" w:rsidRPr="006A6664">
        <w:rPr>
          <w:rFonts w:ascii="Aptos" w:eastAsia="Times New Roman" w:hAnsi="Aptos" w:cs="Arial"/>
          <w:lang w:val="sr-Cyrl-RS" w:eastAsia="sr-Latn-RS"/>
        </w:rPr>
        <w:t>Просторног плана  подручја посебне намене (ППППН) рудног лежишта „Чока Ракита“ у  рејону Црног врха</w:t>
      </w:r>
      <w:r w:rsidRPr="009459B4">
        <w:rPr>
          <w:rFonts w:ascii="Aptos" w:eastAsia="Times New Roman" w:hAnsi="Aptos" w:cs="Arial"/>
          <w:lang w:val="sr-Latn-RS" w:eastAsia="sr-Latn-RS"/>
        </w:rPr>
        <w:t>, и то: изостанак израде, објаве и стављања на увид јавности Стратешке процене утицаја (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), иако је одлука о изради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донета. Овај недостатак доводи до немогућности равноправног и правовременог учешћа јавности у складу са националним и међународним актима.</w:t>
      </w:r>
    </w:p>
    <w:p w14:paraId="60E2AE6A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0ECD1C1B" w14:textId="5C9F2887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Закона о стратешкој процени утицаја</w:t>
      </w:r>
    </w:p>
    <w:p w14:paraId="056AC1E1" w14:textId="77777777" w:rsidR="000D34E1" w:rsidRPr="009459B4" w:rsidRDefault="000D34E1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1166AB90" w14:textId="56077943" w:rsidR="005E7C51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Закон о стратешкој процени утицаја („Сл. гласник РС”, бр. 135/2004 и 88/2010) прописује да се стратешка процена утицаја израђује паралелно са израдом планског документа, као и да мора бити доступна јавности у фази када јавност може суштински да утиче на план. У овом поступку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није израђена, није објављена и није стављена на јавни увид, чиме су прекршене одредбе чл. 7 и 14 поменутог закона.</w:t>
      </w:r>
      <w:r w:rsidR="005E7C51" w:rsidRPr="009459B4">
        <w:rPr>
          <w:rFonts w:ascii="Aptos" w:eastAsia="Times New Roman" w:hAnsi="Aptos" w:cs="Arial"/>
          <w:lang w:val="sr-Latn-RS" w:eastAsia="sr-Latn-RS"/>
        </w:rPr>
        <w:t xml:space="preserve"> </w:t>
      </w:r>
    </w:p>
    <w:p w14:paraId="25A0145D" w14:textId="77777777" w:rsidR="0092223F" w:rsidRPr="009459B4" w:rsidRDefault="0092223F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</w:p>
    <w:p w14:paraId="2B85B2BC" w14:textId="77777777" w:rsidR="00575274" w:rsidRPr="009459B4" w:rsidRDefault="00575274">
      <w:pPr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br w:type="page"/>
      </w:r>
    </w:p>
    <w:p w14:paraId="43545B0E" w14:textId="11EC264A" w:rsidR="00047817" w:rsidRPr="009459B4" w:rsidRDefault="00047817" w:rsidP="000D34E1">
      <w:pPr>
        <w:spacing w:after="0" w:line="240" w:lineRule="auto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lastRenderedPageBreak/>
        <w:t>Повреда Архуске конвенције</w:t>
      </w:r>
    </w:p>
    <w:p w14:paraId="3E63EEC5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1635F0C5" w14:textId="64E54B23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Архуска конвенција, која је обавезујућа за Републику Србију, прописује право јавности на благовремено, потпуно и ефективно учешће у доношењу одлука које се односе на животну средину. Недоступност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документације представља повреду чл. 6(3), 6(4), 6(6) и 7 Архуске конвенције, јер јавност није у прилици да се изјасни о потенцијалним утицајима пројекта.</w:t>
      </w:r>
    </w:p>
    <w:p w14:paraId="199E5EC2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117E4FFF" w14:textId="1ACBDB07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Закона о планирању и изградњи</w:t>
      </w:r>
    </w:p>
    <w:p w14:paraId="56F525D6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35CFAECC" w14:textId="6BA5E954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>Члан 41. Закона о планирању и изградњи прописује да документација која се ставља на јавни увид мора бити комплетна и доступна јавности. Како недостаје</w:t>
      </w:r>
      <w:r w:rsidR="00717C57" w:rsidRPr="009459B4">
        <w:rPr>
          <w:rFonts w:ascii="Aptos" w:eastAsia="Times New Roman" w:hAnsi="Aptos" w:cs="Arial"/>
          <w:lang w:val="sr-Latn-RS" w:eastAsia="sr-Latn-RS"/>
        </w:rPr>
        <w:t xml:space="preserve">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документација, плански материјал није потпу</w:t>
      </w:r>
      <w:r w:rsidR="00717C57" w:rsidRPr="009459B4">
        <w:rPr>
          <w:rFonts w:ascii="Aptos" w:eastAsia="Times New Roman" w:hAnsi="Aptos" w:cs="Arial"/>
          <w:lang w:val="sr-Cyrl-RS" w:eastAsia="sr-Latn-RS"/>
        </w:rPr>
        <w:t>н</w:t>
      </w:r>
      <w:r w:rsidRPr="009459B4">
        <w:rPr>
          <w:rFonts w:ascii="Aptos" w:eastAsia="Times New Roman" w:hAnsi="Aptos" w:cs="Arial"/>
          <w:lang w:val="sr-Latn-RS" w:eastAsia="sr-Latn-RS"/>
        </w:rPr>
        <w:t>.</w:t>
      </w:r>
    </w:p>
    <w:p w14:paraId="07716025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4F61EFD7" w14:textId="15B9795B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Повреда начела превенције и предострожности</w:t>
      </w:r>
    </w:p>
    <w:p w14:paraId="5067C05F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7B3AE517" w14:textId="238214E1" w:rsidR="0004781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Закон о заштити животне средине прописује начела превенције, предострожности и интегрисаности. Изостанак </w:t>
      </w:r>
      <w:r w:rsidR="00783B67" w:rsidRPr="009459B4">
        <w:rPr>
          <w:rFonts w:ascii="Aptos" w:eastAsia="Times New Roman" w:hAnsi="Aptos" w:cs="Arial"/>
          <w:lang w:val="sr-Latn-RS" w:eastAsia="sr-Latn-RS"/>
        </w:rPr>
        <w:t>SEA</w:t>
      </w:r>
      <w:r w:rsidRPr="009459B4">
        <w:rPr>
          <w:rFonts w:ascii="Aptos" w:eastAsia="Times New Roman" w:hAnsi="Aptos" w:cs="Arial"/>
          <w:lang w:val="sr-Latn-RS" w:eastAsia="sr-Latn-RS"/>
        </w:rPr>
        <w:t xml:space="preserve"> значи да план није заснован на процени утицаја на воде, биодиверзитет, станишта, локалну заједницу и климатске ризике, што је директна повреда наведених начела.</w:t>
      </w:r>
    </w:p>
    <w:p w14:paraId="710575E0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7933CCA9" w14:textId="178E7A0C" w:rsidR="00047817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Захтеви подносиоца примедбе</w:t>
      </w:r>
      <w:r w:rsidR="00505ECC" w:rsidRPr="009459B4">
        <w:rPr>
          <w:rFonts w:ascii="Aptos" w:eastAsia="Times New Roman" w:hAnsi="Aptos" w:cs="Arial"/>
          <w:b/>
          <w:bCs/>
          <w:lang w:val="sr-Cyrl-RS" w:eastAsia="sr-Latn-RS"/>
        </w:rPr>
        <w:t>:</w:t>
      </w:r>
    </w:p>
    <w:p w14:paraId="721B6215" w14:textId="77777777" w:rsidR="00575274" w:rsidRPr="009459B4" w:rsidRDefault="00575274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33F64BB" w14:textId="59483AFD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 xml:space="preserve">Обустављање спровођења раног јавног увида док се не изради и не објави </w:t>
      </w:r>
      <w:r w:rsidR="00783B67" w:rsidRPr="009459B4">
        <w:rPr>
          <w:rFonts w:ascii="Aptos" w:eastAsia="Times New Roman" w:hAnsi="Aptos" w:cs="Arial"/>
          <w:b/>
          <w:bCs/>
          <w:lang w:val="sr-Cyrl-RS" w:eastAsia="sr-Latn-RS"/>
        </w:rPr>
        <w:t>SEA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.</w:t>
      </w:r>
    </w:p>
    <w:p w14:paraId="2765F8A1" w14:textId="77777777" w:rsidR="00505ECC" w:rsidRPr="009459B4" w:rsidRDefault="00505ECC" w:rsidP="00505ECC">
      <w:pPr>
        <w:spacing w:after="0" w:line="240" w:lineRule="auto"/>
        <w:ind w:left="720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42084528" w14:textId="7CB70B76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 xml:space="preserve">Понављање раног јавног увида након израде и јавне доступности </w:t>
      </w:r>
      <w:r w:rsidR="00783B67" w:rsidRPr="009459B4">
        <w:rPr>
          <w:rFonts w:ascii="Aptos" w:eastAsia="Times New Roman" w:hAnsi="Aptos" w:cs="Arial"/>
          <w:b/>
          <w:bCs/>
          <w:lang w:val="sr-Latn-RS" w:eastAsia="sr-Latn-RS"/>
        </w:rPr>
        <w:t>SEA</w:t>
      </w:r>
      <w:r w:rsidRPr="009459B4">
        <w:rPr>
          <w:rFonts w:ascii="Aptos" w:eastAsia="Times New Roman" w:hAnsi="Aptos" w:cs="Arial"/>
          <w:b/>
          <w:bCs/>
          <w:lang w:val="sr-Latn-RS" w:eastAsia="sr-Latn-RS"/>
        </w:rPr>
        <w:t>.</w:t>
      </w:r>
    </w:p>
    <w:p w14:paraId="3205C69F" w14:textId="77777777" w:rsidR="00505ECC" w:rsidRPr="009459B4" w:rsidRDefault="00505ECC" w:rsidP="00505ECC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5251E699" w14:textId="77777777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Усклађивање поступка са Архуском конвенцијом и релевантним законима.</w:t>
      </w:r>
    </w:p>
    <w:p w14:paraId="52FE24F9" w14:textId="77777777" w:rsidR="00505ECC" w:rsidRPr="009459B4" w:rsidRDefault="00505ECC" w:rsidP="00505ECC">
      <w:p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</w:p>
    <w:p w14:paraId="2B0857F8" w14:textId="77777777" w:rsidR="00047817" w:rsidRPr="009459B4" w:rsidRDefault="00047817" w:rsidP="000D34E1">
      <w:pPr>
        <w:numPr>
          <w:ilvl w:val="0"/>
          <w:numId w:val="12"/>
        </w:numPr>
        <w:spacing w:after="0" w:line="240" w:lineRule="auto"/>
        <w:jc w:val="both"/>
        <w:rPr>
          <w:rFonts w:ascii="Aptos" w:eastAsia="Times New Roman" w:hAnsi="Aptos" w:cs="Arial"/>
          <w:b/>
          <w:bCs/>
          <w:lang w:val="sr-Latn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Омогућавање суштинског учешћа јавности уз комплетну документацију.</w:t>
      </w:r>
    </w:p>
    <w:p w14:paraId="3FFAFBCD" w14:textId="77777777" w:rsidR="00575274" w:rsidRPr="009459B4" w:rsidRDefault="00575274" w:rsidP="000D34E1">
      <w:pPr>
        <w:spacing w:after="0" w:line="240" w:lineRule="auto"/>
        <w:jc w:val="both"/>
        <w:rPr>
          <w:rFonts w:ascii="Aptos" w:eastAsia="Times New Roman" w:hAnsi="Aptos" w:cs="Arial"/>
          <w:lang w:val="sr-Latn-RS" w:eastAsia="sr-Latn-RS"/>
        </w:rPr>
      </w:pPr>
    </w:p>
    <w:p w14:paraId="4BBAC9E3" w14:textId="01FF7C3D" w:rsidR="00717C57" w:rsidRPr="009459B4" w:rsidRDefault="00047817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Latn-RS" w:eastAsia="sr-Latn-RS"/>
        </w:rPr>
        <w:t xml:space="preserve">Поступак спровођења раног јавног увида за ППППН „Чока Ракита“ није у складу са законима Републике Србије нити са Архуском конвенцијом. Недостатак Стратешке процене утицаја онемогућава јавност да учествује на законит и равноправан </w:t>
      </w:r>
      <w:r w:rsidRPr="00D177AD">
        <w:rPr>
          <w:rFonts w:ascii="Aptos" w:eastAsia="Times New Roman" w:hAnsi="Aptos" w:cs="Arial"/>
          <w:lang w:val="sr-Latn-RS" w:eastAsia="sr-Latn-RS"/>
        </w:rPr>
        <w:t>начин</w:t>
      </w:r>
      <w:r w:rsidR="00575274" w:rsidRPr="00D177AD">
        <w:rPr>
          <w:rFonts w:ascii="Aptos" w:eastAsia="Times New Roman" w:hAnsi="Aptos" w:cs="Arial"/>
          <w:lang w:val="sr-Latn-RS" w:eastAsia="sr-Latn-RS"/>
        </w:rPr>
        <w:t xml:space="preserve"> </w:t>
      </w:r>
      <w:r w:rsidR="00575274" w:rsidRPr="00D177AD">
        <w:rPr>
          <w:rFonts w:ascii="Aptos" w:eastAsia="Times New Roman" w:hAnsi="Aptos" w:cs="Arial"/>
          <w:lang w:val="sr-Cyrl-RS" w:eastAsia="sr-Latn-RS"/>
        </w:rPr>
        <w:t xml:space="preserve">по </w:t>
      </w:r>
      <w:r w:rsidR="00575274" w:rsidRPr="006A6664">
        <w:rPr>
          <w:rFonts w:ascii="Aptos" w:eastAsia="Times New Roman" w:hAnsi="Aptos" w:cs="Arial"/>
          <w:lang w:val="sr-Cyrl-RS" w:eastAsia="sr-Latn-RS"/>
        </w:rPr>
        <w:t>предметном питању</w:t>
      </w:r>
      <w:r w:rsidRPr="009459B4">
        <w:rPr>
          <w:rFonts w:ascii="Aptos" w:eastAsia="Times New Roman" w:hAnsi="Aptos" w:cs="Arial"/>
          <w:lang w:val="sr-Latn-RS" w:eastAsia="sr-Latn-RS"/>
        </w:rPr>
        <w:t>. Стога је неопходно обуставити и поновити поступак у складу са прописима.</w:t>
      </w:r>
    </w:p>
    <w:p w14:paraId="7C66C536" w14:textId="77777777" w:rsidR="00297A9B" w:rsidRPr="009459B4" w:rsidRDefault="00297A9B" w:rsidP="000D34E1">
      <w:pPr>
        <w:spacing w:after="0" w:line="240" w:lineRule="auto"/>
        <w:jc w:val="both"/>
        <w:rPr>
          <w:rFonts w:ascii="Aptos" w:eastAsia="Times New Roman" w:hAnsi="Aptos" w:cs="Arial"/>
          <w:lang w:val="sr-Cyrl-RS" w:eastAsia="sr-Latn-RS"/>
        </w:rPr>
      </w:pPr>
    </w:p>
    <w:p w14:paraId="10C3C135" w14:textId="77777777" w:rsidR="00277CFE" w:rsidRPr="009459B4" w:rsidRDefault="00047817" w:rsidP="000D34E1">
      <w:pPr>
        <w:spacing w:after="0" w:line="240" w:lineRule="auto"/>
        <w:outlineLvl w:val="2"/>
        <w:rPr>
          <w:rFonts w:ascii="Aptos" w:eastAsia="Times New Roman" w:hAnsi="Aptos" w:cs="Arial"/>
          <w:b/>
          <w:bCs/>
          <w:lang w:val="sr-Cyrl-RS" w:eastAsia="sr-Latn-RS"/>
        </w:rPr>
      </w:pPr>
      <w:r w:rsidRPr="009459B4">
        <w:rPr>
          <w:rFonts w:ascii="Aptos" w:eastAsia="Times New Roman" w:hAnsi="Aptos" w:cs="Arial"/>
          <w:b/>
          <w:bCs/>
          <w:lang w:val="sr-Latn-RS" w:eastAsia="sr-Latn-RS"/>
        </w:rPr>
        <w:t>2. Примедбе по тематским целинама</w:t>
      </w:r>
    </w:p>
    <w:p w14:paraId="3EDFC142" w14:textId="77777777" w:rsidR="00575274" w:rsidRPr="009459B4" w:rsidRDefault="00575274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Latn-RS" w:eastAsia="sr-Latn-RS"/>
        </w:rPr>
      </w:pPr>
    </w:p>
    <w:p w14:paraId="7278FFA2" w14:textId="79A9BD48" w:rsidR="006B70AE" w:rsidRPr="009459B4" w:rsidRDefault="006B70AE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Cyrl-RS" w:eastAsia="sr-Latn-RS"/>
        </w:rPr>
      </w:pPr>
      <w:r w:rsidRPr="009459B4">
        <w:rPr>
          <w:rFonts w:ascii="Aptos" w:eastAsia="Times New Roman" w:hAnsi="Aptos" w:cs="Arial"/>
          <w:lang w:val="sr-Cyrl-RS" w:eastAsia="sr-Latn-RS"/>
        </w:rPr>
        <w:t>Будући да Стратешка процена утицаја</w:t>
      </w:r>
      <w:r w:rsidR="00277CFE" w:rsidRPr="009459B4">
        <w:rPr>
          <w:rFonts w:ascii="Aptos" w:eastAsia="Times New Roman" w:hAnsi="Aptos" w:cs="Arial"/>
          <w:lang w:val="sr-Cyrl-RS" w:eastAsia="sr-Latn-RS"/>
        </w:rPr>
        <w:t xml:space="preserve"> на животну средину,</w:t>
      </w:r>
      <w:r w:rsidR="00575274" w:rsidRPr="009459B4">
        <w:rPr>
          <w:rFonts w:ascii="Aptos" w:eastAsia="Times New Roman" w:hAnsi="Aptos" w:cs="Arial"/>
          <w:lang w:val="sr-Cyrl-RS" w:eastAsia="sr-Latn-RS"/>
        </w:rPr>
        <w:t xml:space="preserve"> </w:t>
      </w:r>
      <w:r w:rsidR="00277CFE" w:rsidRPr="009459B4">
        <w:rPr>
          <w:rFonts w:ascii="Aptos" w:eastAsia="Times New Roman" w:hAnsi="Aptos" w:cs="Arial"/>
          <w:lang w:val="sr-Cyrl-RS" w:eastAsia="sr-Latn-RS"/>
        </w:rPr>
        <w:t>као најважнији преве</w:t>
      </w:r>
      <w:r w:rsidR="009371D9" w:rsidRPr="009459B4">
        <w:rPr>
          <w:rFonts w:ascii="Aptos" w:eastAsia="Times New Roman" w:hAnsi="Aptos" w:cs="Arial"/>
          <w:lang w:val="sr-Cyrl-RS" w:eastAsia="sr-Latn-RS"/>
        </w:rPr>
        <w:t>н</w:t>
      </w:r>
      <w:r w:rsidR="00277CFE" w:rsidRPr="009459B4">
        <w:rPr>
          <w:rFonts w:ascii="Aptos" w:eastAsia="Times New Roman" w:hAnsi="Aptos" w:cs="Arial"/>
          <w:lang w:val="sr-Cyrl-RS" w:eastAsia="sr-Latn-RS"/>
        </w:rPr>
        <w:t>тивни механизам</w:t>
      </w:r>
      <w:r w:rsidRPr="009459B4">
        <w:rPr>
          <w:rFonts w:ascii="Aptos" w:eastAsia="Times New Roman" w:hAnsi="Aptos" w:cs="Arial"/>
          <w:lang w:val="sr-Cyrl-RS" w:eastAsia="sr-Latn-RS"/>
        </w:rPr>
        <w:t xml:space="preserve"> још увек није израђена, без об</w:t>
      </w:r>
      <w:r w:rsidR="00575274" w:rsidRPr="009459B4">
        <w:rPr>
          <w:rFonts w:ascii="Aptos" w:eastAsia="Times New Roman" w:hAnsi="Aptos" w:cs="Arial"/>
          <w:lang w:val="sr-Cyrl-RS" w:eastAsia="sr-Latn-RS"/>
        </w:rPr>
        <w:t>з</w:t>
      </w:r>
      <w:r w:rsidRPr="009459B4">
        <w:rPr>
          <w:rFonts w:ascii="Aptos" w:eastAsia="Times New Roman" w:hAnsi="Aptos" w:cs="Arial"/>
          <w:lang w:val="sr-Cyrl-RS" w:eastAsia="sr-Latn-RS"/>
        </w:rPr>
        <w:t xml:space="preserve">ира на то да је донета одлука о њеној изради, немогуће је сагледати све последице овако предложеног Просторног плана и Елабората. Неке од примедби </w:t>
      </w:r>
      <w:r w:rsidR="00717C57" w:rsidRPr="009459B4">
        <w:rPr>
          <w:rFonts w:ascii="Aptos" w:eastAsia="Times New Roman" w:hAnsi="Aptos" w:cs="Arial"/>
          <w:lang w:val="sr-Cyrl-RS" w:eastAsia="sr-Latn-RS"/>
        </w:rPr>
        <w:t xml:space="preserve">које се већ сада могу дати </w:t>
      </w:r>
      <w:r w:rsidR="00277CFE" w:rsidRPr="009459B4">
        <w:rPr>
          <w:rFonts w:ascii="Aptos" w:eastAsia="Times New Roman" w:hAnsi="Aptos" w:cs="Arial"/>
          <w:lang w:val="sr-Cyrl-RS" w:eastAsia="sr-Latn-RS"/>
        </w:rPr>
        <w:t xml:space="preserve">приказане су табеларно: </w:t>
      </w:r>
    </w:p>
    <w:p w14:paraId="188CC70B" w14:textId="77777777" w:rsidR="00297A9B" w:rsidRPr="009459B4" w:rsidRDefault="00297A9B" w:rsidP="000D34E1">
      <w:pPr>
        <w:spacing w:after="0" w:line="240" w:lineRule="auto"/>
        <w:jc w:val="both"/>
        <w:outlineLvl w:val="2"/>
        <w:rPr>
          <w:rFonts w:ascii="Aptos" w:eastAsia="Times New Roman" w:hAnsi="Aptos" w:cs="Arial"/>
          <w:lang w:val="sr-Cyrl-RS" w:eastAsia="sr-Latn-RS"/>
        </w:rPr>
      </w:pPr>
    </w:p>
    <w:p w14:paraId="082F17D4" w14:textId="582819BC" w:rsidR="00575274" w:rsidRPr="0002008B" w:rsidRDefault="00575274" w:rsidP="0002008B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</w:p>
    <w:p w14:paraId="0B6BA142" w14:textId="77777777" w:rsidR="0002008B" w:rsidRDefault="0002008B">
      <w:pPr>
        <w:rPr>
          <w:rFonts w:ascii="Aptos" w:eastAsiaTheme="majorEastAsia" w:hAnsi="Aptos" w:cs="Arial"/>
          <w:b/>
          <w:bCs/>
          <w:color w:val="000000"/>
          <w:lang w:val="sr-Latn-RS"/>
        </w:rPr>
      </w:pPr>
      <w:r>
        <w:rPr>
          <w:rFonts w:ascii="Aptos" w:hAnsi="Aptos" w:cs="Arial"/>
          <w:i/>
          <w:iCs/>
          <w:color w:val="000000"/>
          <w:lang w:val="sr-Latn-RS"/>
        </w:rPr>
        <w:br w:type="page"/>
      </w:r>
    </w:p>
    <w:p w14:paraId="61DBAC67" w14:textId="15702C99" w:rsidR="00575274" w:rsidRPr="009459B4" w:rsidRDefault="00F3459E" w:rsidP="00AD093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</w:rPr>
      </w:pPr>
      <w:r w:rsidRPr="009459B4">
        <w:rPr>
          <w:rFonts w:ascii="Aptos" w:hAnsi="Aptos" w:cs="Arial"/>
          <w:i w:val="0"/>
          <w:iCs w:val="0"/>
          <w:color w:val="000000"/>
          <w:lang w:val="sr-Latn-RS"/>
        </w:rPr>
        <w:lastRenderedPageBreak/>
        <w:t xml:space="preserve">2.1. </w:t>
      </w:r>
      <w:r w:rsidRPr="009459B4">
        <w:rPr>
          <w:rFonts w:ascii="Aptos" w:hAnsi="Aptos" w:cs="Arial"/>
          <w:i w:val="0"/>
          <w:iCs w:val="0"/>
          <w:color w:val="000000"/>
        </w:rPr>
        <w:t>ПРАВНИ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ПРОЦЕДУРАЛНИ</w:t>
      </w:r>
      <w:r w:rsidRPr="009459B4">
        <w:rPr>
          <w:rFonts w:ascii="Aptos" w:hAnsi="Aptos" w:cs="Arial"/>
          <w:i w:val="0"/>
          <w:iCs w:val="0"/>
          <w:color w:val="000000"/>
          <w:lang w:val="sr-Latn-RS"/>
        </w:rPr>
        <w:t xml:space="preserve"> </w:t>
      </w:r>
      <w:r w:rsidRPr="009459B4">
        <w:rPr>
          <w:rFonts w:ascii="Aptos" w:hAnsi="Aptos" w:cs="Arial"/>
          <w:i w:val="0"/>
          <w:iCs w:val="0"/>
          <w:color w:val="000000"/>
        </w:rPr>
        <w:t>ИНТЕГРИТЕТ</w:t>
      </w:r>
    </w:p>
    <w:p w14:paraId="0C20D6F6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Latn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60"/>
        <w:gridCol w:w="4145"/>
        <w:gridCol w:w="2885"/>
      </w:tblGrid>
      <w:tr w:rsidR="00F3459E" w:rsidRPr="009459B4" w14:paraId="0D50428C" w14:textId="77777777" w:rsidTr="0002744D">
        <w:trPr>
          <w:trHeight w:val="567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1AE47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7C47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правна референца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9E26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8C541C" w14:paraId="620FBE55" w14:textId="77777777" w:rsidTr="0002744D">
        <w:trPr>
          <w:trHeight w:val="2381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E264C" w14:textId="615CBA67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2.1.</w:t>
            </w:r>
            <w:r w:rsidR="00C94CA2" w:rsidRPr="009459B4">
              <w:rPr>
                <w:rFonts w:ascii="Aptos" w:hAnsi="Aptos" w:cs="Arial"/>
                <w:b/>
                <w:bCs/>
              </w:rPr>
              <w:t>1</w:t>
            </w:r>
            <w:r w:rsidRPr="009459B4">
              <w:rPr>
                <w:rFonts w:ascii="Aptos" w:hAnsi="Aptos" w:cs="Arial"/>
                <w:b/>
                <w:bCs/>
              </w:rPr>
              <w:t>. Конфликт са</w:t>
            </w:r>
            <w:r w:rsidR="001209E8" w:rsidRPr="009459B4">
              <w:rPr>
                <w:rFonts w:ascii="Aptos" w:hAnsi="Aptos" w:cs="Arial"/>
                <w:b/>
                <w:bCs/>
                <w:lang w:val="sr-Cyrl-RS"/>
              </w:rPr>
              <w:t xml:space="preserve"> важећим</w:t>
            </w:r>
            <w:r w:rsidRPr="009459B4">
              <w:rPr>
                <w:rFonts w:ascii="Aptos" w:hAnsi="Aptos" w:cs="Arial"/>
                <w:b/>
                <w:bCs/>
              </w:rPr>
              <w:t xml:space="preserve"> вишим планским актима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025F9" w14:textId="715D4302" w:rsidR="00F3459E" w:rsidRPr="009459B4" w:rsidRDefault="001209E8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>Недовољно правно образложење приоритетности краткорочних екстрактивних активности над дугорочним државним интересима заштите природе (будући НП Кучај–</w:t>
            </w:r>
            <w:r w:rsidRPr="009459B4">
              <w:rPr>
                <w:rFonts w:ascii="Aptos" w:hAnsi="Aptos" w:cs="Arial"/>
                <w:lang w:val="sr-Cyrl-RS"/>
              </w:rPr>
              <w:t>Бељаница) и развоја туризма, што ствара правну несигурност и потенцијал за оспоравање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D9EBE" w14:textId="6D60544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 xml:space="preserve">Извршити </w:t>
            </w:r>
            <w:r w:rsidR="001209E8" w:rsidRPr="009459B4">
              <w:rPr>
                <w:rFonts w:ascii="Aptos" w:hAnsi="Aptos" w:cs="Arial"/>
                <w:lang w:val="sr-Cyrl-RS"/>
              </w:rPr>
              <w:t xml:space="preserve">ревизију ППППН у складу са стратешким плановима регионалног развоја, са јасно дефинисаним приоритетом </w:t>
            </w:r>
            <w:r w:rsidR="00AD0931" w:rsidRPr="009459B4">
              <w:rPr>
                <w:rFonts w:ascii="Aptos" w:hAnsi="Aptos" w:cs="Arial"/>
                <w:lang w:val="sr-Cyrl-RS"/>
              </w:rPr>
              <w:t>–</w:t>
            </w:r>
            <w:r w:rsidR="001209E8" w:rsidRPr="009459B4">
              <w:rPr>
                <w:rFonts w:ascii="Aptos" w:hAnsi="Aptos" w:cs="Arial"/>
                <w:lang w:val="sr-Cyrl-RS"/>
              </w:rPr>
              <w:t xml:space="preserve"> очување природе као трајног капитала</w:t>
            </w:r>
          </w:p>
        </w:tc>
      </w:tr>
      <w:tr w:rsidR="00F3459E" w:rsidRPr="008C541C" w14:paraId="28889010" w14:textId="77777777" w:rsidTr="0002744D">
        <w:trPr>
          <w:trHeight w:val="2381"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59E85" w14:textId="2E1E5881" w:rsidR="00F3459E" w:rsidRPr="00553586" w:rsidRDefault="00F3459E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b/>
                <w:bCs/>
                <w:lang w:val="sr-Cyrl-RS"/>
              </w:rPr>
              <w:t>2.1.</w:t>
            </w:r>
            <w:r w:rsidR="00021BE0" w:rsidRPr="009459B4">
              <w:rPr>
                <w:rFonts w:ascii="Aptos" w:hAnsi="Aptos" w:cs="Arial"/>
                <w:b/>
                <w:bCs/>
                <w:lang w:val="sr-Cyrl-RS"/>
              </w:rPr>
              <w:t>2</w:t>
            </w:r>
            <w:r w:rsidRPr="00553586">
              <w:rPr>
                <w:rFonts w:ascii="Aptos" w:hAnsi="Aptos" w:cs="Arial"/>
                <w:b/>
                <w:bCs/>
                <w:lang w:val="sr-Cyrl-RS"/>
              </w:rPr>
              <w:t xml:space="preserve">. </w:t>
            </w:r>
            <w:r w:rsidR="001209E8" w:rsidRPr="00553586">
              <w:rPr>
                <w:rFonts w:ascii="Aptos" w:hAnsi="Aptos" w:cs="Arial"/>
                <w:b/>
                <w:bCs/>
                <w:lang w:val="sr-Cyrl-RS"/>
              </w:rPr>
              <w:t>Ризик неодређених или превише флексибилних решења која могу омогућити заобилажење планских и еколошких обавеза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F0D6A" w14:textId="18E3EFA7" w:rsidR="00F3459E" w:rsidRPr="00553586" w:rsidRDefault="0067135D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lang w:val="sr-Cyrl-RS"/>
              </w:rPr>
              <w:t xml:space="preserve">Коришћење терминологије која омогућава </w:t>
            </w:r>
            <w:r w:rsidRPr="009459B4">
              <w:rPr>
                <w:rFonts w:ascii="Aptos" w:hAnsi="Aptos" w:cs="Arial"/>
                <w:lang w:val="sr-Cyrl-RS"/>
              </w:rPr>
              <w:t>„</w:t>
            </w:r>
            <w:r w:rsidRPr="00553586">
              <w:rPr>
                <w:rFonts w:ascii="Aptos" w:hAnsi="Aptos" w:cs="Arial"/>
                <w:lang w:val="sr-Cyrl-RS"/>
              </w:rPr>
              <w:t>мање корекције</w:t>
            </w:r>
            <w:r w:rsidRPr="009459B4">
              <w:rPr>
                <w:rFonts w:ascii="Aptos" w:hAnsi="Aptos" w:cs="Arial"/>
                <w:lang w:val="sr-Cyrl-RS"/>
              </w:rPr>
              <w:t>“</w:t>
            </w:r>
            <w:r w:rsidRPr="00553586">
              <w:rPr>
                <w:rFonts w:ascii="Aptos" w:hAnsi="Aptos" w:cs="Arial"/>
                <w:lang w:val="sr-Cyrl-RS"/>
              </w:rPr>
              <w:t xml:space="preserve"> или </w:t>
            </w:r>
            <w:r w:rsidRPr="009459B4">
              <w:rPr>
                <w:rFonts w:ascii="Aptos" w:hAnsi="Aptos" w:cs="Arial"/>
                <w:lang w:val="sr-Cyrl-RS"/>
              </w:rPr>
              <w:t>„</w:t>
            </w:r>
            <w:r w:rsidRPr="00553586">
              <w:rPr>
                <w:rFonts w:ascii="Aptos" w:hAnsi="Aptos" w:cs="Arial"/>
                <w:lang w:val="sr-Cyrl-RS"/>
              </w:rPr>
              <w:t>допуне</w:t>
            </w:r>
            <w:r w:rsidRPr="009459B4">
              <w:rPr>
                <w:rFonts w:ascii="Aptos" w:hAnsi="Aptos" w:cs="Arial"/>
                <w:lang w:val="sr-Cyrl-RS"/>
              </w:rPr>
              <w:t>“</w:t>
            </w:r>
            <w:r w:rsidRPr="00553586">
              <w:rPr>
                <w:rFonts w:ascii="Aptos" w:hAnsi="Aptos" w:cs="Arial"/>
                <w:lang w:val="sr-Cyrl-RS"/>
              </w:rPr>
              <w:t xml:space="preserve"> у техничкој документацији за кључне објекте (одлагалиште јаловине, постројења за прераду) представља управљачки пропуст (</w:t>
            </w:r>
            <w:r w:rsidRPr="009459B4">
              <w:rPr>
                <w:rFonts w:ascii="Aptos" w:hAnsi="Aptos" w:cs="Arial"/>
                <w:i/>
                <w:iCs/>
              </w:rPr>
              <w:t>Gove</w:t>
            </w:r>
            <w:r w:rsidR="00AD0931" w:rsidRPr="009459B4">
              <w:rPr>
                <w:rFonts w:ascii="Aptos" w:hAnsi="Aptos" w:cs="Arial"/>
                <w:i/>
                <w:iCs/>
                <w:lang w:val="sr-Latn-RS"/>
              </w:rPr>
              <w:t>r</w:t>
            </w:r>
            <w:r w:rsidR="00AD0931" w:rsidRPr="009459B4">
              <w:rPr>
                <w:rFonts w:ascii="Aptos" w:hAnsi="Aptos" w:cs="Arial"/>
                <w:i/>
                <w:iCs/>
              </w:rPr>
              <w:t>n</w:t>
            </w:r>
            <w:r w:rsidRPr="009459B4">
              <w:rPr>
                <w:rFonts w:ascii="Aptos" w:hAnsi="Aptos" w:cs="Arial"/>
                <w:i/>
                <w:iCs/>
              </w:rPr>
              <w:t>ance</w:t>
            </w:r>
            <w:r w:rsidRPr="00553586">
              <w:rPr>
                <w:rFonts w:ascii="Aptos" w:hAnsi="Aptos" w:cs="Arial"/>
                <w:lang w:val="sr-Cyrl-RS"/>
              </w:rPr>
              <w:t>) и ризик проширења обима пројекта (</w:t>
            </w:r>
            <w:r w:rsidRPr="009459B4">
              <w:rPr>
                <w:rFonts w:ascii="Aptos" w:hAnsi="Aptos" w:cs="Arial"/>
                <w:i/>
                <w:iCs/>
              </w:rPr>
              <w:t>Scope</w:t>
            </w:r>
            <w:r w:rsidRPr="00553586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Creep</w:t>
            </w:r>
            <w:r w:rsidRPr="00553586">
              <w:rPr>
                <w:rFonts w:ascii="Aptos" w:hAnsi="Aptos" w:cs="Arial"/>
                <w:lang w:val="sr-Cyrl-RS"/>
              </w:rPr>
              <w:t>) без спровођења нове јавне расправе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25EB8" w14:textId="7ACB00BC" w:rsidR="00F3459E" w:rsidRPr="00553586" w:rsidRDefault="0067135D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553586">
              <w:rPr>
                <w:rFonts w:ascii="Aptos" w:hAnsi="Aptos" w:cs="Arial"/>
                <w:lang w:val="sr-Cyrl-RS"/>
              </w:rPr>
              <w:t>Укинути флексибилне формулације за објекте са највећим еколошким ризиком; све кључне техничке параметре (локација, капацитет) фиксирати у самом Просторном плану</w:t>
            </w:r>
          </w:p>
        </w:tc>
      </w:tr>
    </w:tbl>
    <w:p w14:paraId="6649A685" w14:textId="77777777" w:rsidR="007045CA" w:rsidRPr="009459B4" w:rsidRDefault="007045CA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  <w:bookmarkStart w:id="0" w:name="_dnbn3kvrzi9u" w:colFirst="0" w:colLast="0"/>
      <w:bookmarkEnd w:id="0"/>
    </w:p>
    <w:p w14:paraId="33453EDC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Cyrl-RS"/>
        </w:rPr>
      </w:pPr>
    </w:p>
    <w:p w14:paraId="454B711A" w14:textId="280A3122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Latn-RS"/>
        </w:rPr>
      </w:pPr>
      <w:r w:rsidRPr="009459B4">
        <w:rPr>
          <w:rFonts w:ascii="Aptos" w:hAnsi="Aptos" w:cs="Arial"/>
          <w:i w:val="0"/>
          <w:iCs w:val="0"/>
          <w:color w:val="000000"/>
        </w:rPr>
        <w:t>2.2. ЕКОЛОШКИ</w:t>
      </w:r>
      <w:r w:rsidR="00F851E9" w:rsidRPr="009459B4">
        <w:rPr>
          <w:rFonts w:ascii="Aptos" w:hAnsi="Aptos" w:cs="Arial"/>
          <w:i w:val="0"/>
          <w:iCs w:val="0"/>
          <w:color w:val="000000"/>
        </w:rPr>
        <w:t xml:space="preserve"> </w:t>
      </w:r>
      <w:r w:rsidR="00F851E9" w:rsidRPr="009459B4">
        <w:rPr>
          <w:rFonts w:ascii="Aptos" w:hAnsi="Aptos" w:cs="Arial"/>
          <w:i w:val="0"/>
          <w:iCs w:val="0"/>
          <w:color w:val="000000"/>
          <w:lang w:val="sr-Cyrl-RS"/>
        </w:rPr>
        <w:t>ИНТЕГРИТЕТ</w:t>
      </w:r>
    </w:p>
    <w:p w14:paraId="0B16E2A7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Latn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5"/>
        <w:gridCol w:w="3410"/>
        <w:gridCol w:w="3365"/>
      </w:tblGrid>
      <w:tr w:rsidR="00F3459E" w:rsidRPr="009459B4" w14:paraId="6D6C45ED" w14:textId="77777777" w:rsidTr="0002744D">
        <w:trPr>
          <w:trHeight w:val="567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ED9EB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06A7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техничка референца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B1F4A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9459B4" w14:paraId="69A85091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3929A" w14:textId="4D6E371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2.2.1.</w:t>
            </w:r>
            <w:r w:rsidR="00505ECC"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67135D" w:rsidRPr="009459B4">
              <w:rPr>
                <w:rFonts w:ascii="Aptos" w:hAnsi="Aptos" w:cs="Arial"/>
                <w:b/>
                <w:bCs/>
              </w:rPr>
              <w:t xml:space="preserve">Егзистенцијални ризик по хидрогеолошке ресурсе </w:t>
            </w:r>
            <w:r w:rsidR="0067135D" w:rsidRPr="009459B4">
              <w:rPr>
                <w:rFonts w:ascii="Aptos" w:hAnsi="Aptos" w:cs="Arial"/>
                <w:b/>
                <w:bCs/>
                <w:lang w:val="sr-Cyrl-RS"/>
              </w:rPr>
              <w:t xml:space="preserve">и </w:t>
            </w:r>
            <w:r w:rsidR="0067135D" w:rsidRPr="009459B4">
              <w:rPr>
                <w:rFonts w:ascii="Aptos" w:hAnsi="Aptos" w:cs="Arial"/>
                <w:b/>
                <w:bCs/>
              </w:rPr>
              <w:t>угрожавање квалитета и количине воде која је кључна за локалне заједнице и екосистеме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0161" w14:textId="7934954A" w:rsidR="00F3459E" w:rsidRPr="009459B4" w:rsidRDefault="0067135D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Локација у карстном подручју</w:t>
            </w:r>
            <w:r w:rsidR="00B37DEA">
              <w:rPr>
                <w:rFonts w:ascii="Aptos" w:hAnsi="Aptos" w:cs="Arial"/>
              </w:rPr>
              <w:t xml:space="preserve"> </w:t>
            </w:r>
            <w:r w:rsidR="00B37DEA">
              <w:rPr>
                <w:rFonts w:ascii="Aptos" w:hAnsi="Aptos" w:cs="Arial"/>
                <w:lang w:val="sr-Cyrl-RS"/>
              </w:rPr>
              <w:t xml:space="preserve">(слив Пека и Млаве, нпр.) </w:t>
            </w:r>
            <w:r w:rsidRPr="009459B4">
              <w:rPr>
                <w:rFonts w:ascii="Aptos" w:hAnsi="Aptos" w:cs="Arial"/>
              </w:rPr>
              <w:t>представља висок ризик од неповратне и трајне контаминације воде, а поузданост затвореног водног циклуса није могуће гарантовати у оваквим хидрогеолошким условима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D9B36" w14:textId="517DF4BC" w:rsidR="00F3459E" w:rsidRPr="009459B4" w:rsidRDefault="0067135D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 за независну стручну ревизију (</w:t>
            </w:r>
            <w:r w:rsidRPr="009459B4">
              <w:rPr>
                <w:rFonts w:ascii="Aptos" w:hAnsi="Aptos" w:cs="Arial"/>
                <w:i/>
                <w:iCs/>
              </w:rPr>
              <w:t>Peer Review</w:t>
            </w:r>
            <w:r w:rsidRPr="009459B4">
              <w:rPr>
                <w:rFonts w:ascii="Aptos" w:hAnsi="Aptos" w:cs="Arial"/>
              </w:rPr>
              <w:t>) од реномираних међународних хидрогеолошких експерата и објављивање модела пробабилистичког ризика ширења загађења у случају хаварије</w:t>
            </w:r>
          </w:p>
        </w:tc>
      </w:tr>
      <w:tr w:rsidR="00F3459E" w:rsidRPr="009459B4" w14:paraId="5B5BEFAC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7B55F" w14:textId="504FDB49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lastRenderedPageBreak/>
              <w:t xml:space="preserve">2.2.2. </w:t>
            </w:r>
            <w:r w:rsidR="006D5C6F" w:rsidRPr="009459B4">
              <w:rPr>
                <w:rFonts w:ascii="Aptos" w:hAnsi="Aptos" w:cs="Arial"/>
                <w:b/>
                <w:bCs/>
              </w:rPr>
              <w:t>Недостатак финансијске гаранције (</w:t>
            </w:r>
            <w:r w:rsidR="006D5C6F" w:rsidRPr="009459B4">
              <w:rPr>
                <w:rFonts w:ascii="Aptos" w:hAnsi="Aptos" w:cs="Arial"/>
                <w:b/>
                <w:bCs/>
                <w:i/>
                <w:iCs/>
              </w:rPr>
              <w:t>Closure Bond</w:t>
            </w:r>
            <w:r w:rsidR="006D5C6F" w:rsidRPr="009459B4">
              <w:rPr>
                <w:rFonts w:ascii="Aptos" w:hAnsi="Aptos" w:cs="Arial"/>
                <w:b/>
                <w:bCs/>
              </w:rPr>
              <w:t xml:space="preserve">) за санацију и затварање рударског објекта, што повећава ризик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>д</w:t>
            </w:r>
            <w:r w:rsidR="006D5C6F" w:rsidRPr="009459B4">
              <w:rPr>
                <w:rFonts w:ascii="Aptos" w:hAnsi="Aptos" w:cs="Arial"/>
                <w:b/>
                <w:bCs/>
              </w:rPr>
              <w:t>а трошкове затварања и рестаурације животне средине преузме држава или локална заједница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5F088" w14:textId="79E6E353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 xml:space="preserve">Елаборат не прописује обавезно полагање безусловне банкарске гаранције за покриће 100% трошкова санације, рекултивације и перпетуалног третмана воде (AMD – кисела дренажа рудника), што је у супротности са међународним најбољим праксама </w:t>
            </w:r>
            <w:r w:rsidRPr="009459B4">
              <w:rPr>
                <w:rFonts w:ascii="Aptos" w:hAnsi="Aptos" w:cs="Arial"/>
                <w:i/>
                <w:iCs/>
              </w:rPr>
              <w:t>(Best Practices</w:t>
            </w:r>
            <w:r w:rsidRPr="009459B4">
              <w:rPr>
                <w:rFonts w:ascii="Aptos" w:hAnsi="Aptos" w:cs="Arial"/>
              </w:rPr>
              <w:t>), нпр. у Канади и Аустралији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3DFC" w14:textId="13CC4501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 xml:space="preserve">Усвојити обавезу формирања </w:t>
            </w:r>
            <w:r w:rsidRPr="009459B4">
              <w:rPr>
                <w:rFonts w:ascii="Aptos" w:hAnsi="Aptos" w:cs="Arial"/>
                <w:i/>
                <w:iCs/>
              </w:rPr>
              <w:t>Escrow</w:t>
            </w:r>
            <w:r w:rsidRPr="009459B4">
              <w:rPr>
                <w:rFonts w:ascii="Aptos" w:hAnsi="Aptos" w:cs="Arial"/>
              </w:rPr>
              <w:t xml:space="preserve"> фонда под контролом државе пре почетка радова, са довољним средствима за покриће трошкова у најгорем сценарију (</w:t>
            </w:r>
            <w:r w:rsidRPr="009459B4">
              <w:rPr>
                <w:rFonts w:ascii="Aptos" w:hAnsi="Aptos" w:cs="Arial"/>
                <w:i/>
                <w:iCs/>
              </w:rPr>
              <w:t>Worst-Case</w:t>
            </w:r>
            <w:r w:rsidRPr="009459B4">
              <w:rPr>
                <w:rFonts w:ascii="Aptos" w:hAnsi="Aptos" w:cs="Arial"/>
              </w:rPr>
              <w:t>), укључујући санацију, рекултивацију и третман воде</w:t>
            </w:r>
          </w:p>
        </w:tc>
      </w:tr>
      <w:tr w:rsidR="00F3459E" w:rsidRPr="009459B4" w14:paraId="33C106FD" w14:textId="77777777" w:rsidTr="00505ECC">
        <w:trPr>
          <w:trHeight w:val="3289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66E86" w14:textId="45FB2431" w:rsidR="00F3459E" w:rsidRPr="009459B4" w:rsidRDefault="00F3459E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2.2.3.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>И</w:t>
            </w:r>
            <w:r w:rsidR="006D5C6F" w:rsidRPr="009459B4">
              <w:rPr>
                <w:rFonts w:ascii="Aptos" w:hAnsi="Aptos" w:cs="Arial"/>
                <w:b/>
                <w:bCs/>
              </w:rPr>
              <w:t xml:space="preserve">зостављена </w:t>
            </w:r>
            <w:r w:rsidR="00AD0931" w:rsidRPr="009459B4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6D5C6F" w:rsidRPr="009459B4">
              <w:rPr>
                <w:rFonts w:ascii="Aptos" w:hAnsi="Aptos" w:cs="Arial"/>
                <w:b/>
                <w:bCs/>
              </w:rPr>
              <w:t>процена угљеничног отиска (</w:t>
            </w:r>
            <w:r w:rsidR="006D5C6F" w:rsidRPr="009459B4">
              <w:rPr>
                <w:rFonts w:ascii="Aptos" w:hAnsi="Aptos" w:cs="Arial"/>
                <w:b/>
                <w:bCs/>
                <w:i/>
                <w:iCs/>
              </w:rPr>
              <w:t>Carbon Footprint</w:t>
            </w:r>
            <w:r w:rsidR="006D5C6F" w:rsidRPr="009459B4">
              <w:rPr>
                <w:rFonts w:ascii="Aptos" w:hAnsi="Aptos" w:cs="Arial"/>
                <w:b/>
                <w:bCs/>
              </w:rPr>
              <w:t>) пројекта, укључујући емисије током производње, транспорта и рударских операција, што онемогућава процену климатског утицаја и планирање мера за смањење емисија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B111A" w14:textId="6D1498B2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Не постоји јасна и квантитативна процена угљеничног отиска (</w:t>
            </w:r>
            <w:r w:rsidRPr="009459B4">
              <w:rPr>
                <w:rFonts w:ascii="Aptos" w:hAnsi="Aptos" w:cs="Arial"/>
                <w:i/>
                <w:iCs/>
              </w:rPr>
              <w:t>Carbon Footprint</w:t>
            </w:r>
            <w:r w:rsidRPr="009459B4">
              <w:rPr>
                <w:rFonts w:ascii="Aptos" w:hAnsi="Aptos" w:cs="Arial"/>
              </w:rPr>
              <w:t>) пројекта, што представља кључни критеријум и значајан економски ризик за Србију у контексту будућих GHG</w:t>
            </w:r>
            <w:r w:rsidRPr="009459B4">
              <w:rPr>
                <w:rFonts w:ascii="Aptos" w:hAnsi="Aptos" w:cs="Arial"/>
                <w:vertAlign w:val="subscript"/>
              </w:rPr>
              <w:t xml:space="preserve"> </w:t>
            </w:r>
            <w:r w:rsidRPr="009459B4">
              <w:rPr>
                <w:rFonts w:ascii="Aptos" w:hAnsi="Aptos" w:cs="Arial"/>
              </w:rPr>
              <w:t>такси и CBAM механизма</w:t>
            </w:r>
          </w:p>
        </w:tc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BE730" w14:textId="29089A7F" w:rsidR="00F3459E" w:rsidRPr="009459B4" w:rsidRDefault="006D5C6F" w:rsidP="00AD0931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Захтева се израда квантитативне процене GHG емисија пројекта и развој плана за њихово смањење у складу са Националном стратегијом декарбонизације привреде и обавезама из Париског споразума</w:t>
            </w:r>
          </w:p>
        </w:tc>
      </w:tr>
    </w:tbl>
    <w:p w14:paraId="30136247" w14:textId="77777777" w:rsidR="009371D9" w:rsidRPr="009459B4" w:rsidRDefault="009371D9" w:rsidP="00AD0931">
      <w:pPr>
        <w:spacing w:after="0" w:line="240" w:lineRule="auto"/>
        <w:rPr>
          <w:rFonts w:ascii="Aptos" w:hAnsi="Aptos" w:cs="Arial"/>
          <w:lang w:val="sr-Cyrl-RS"/>
        </w:rPr>
      </w:pPr>
      <w:bookmarkStart w:id="1" w:name="_vb3sza63bpqv" w:colFirst="0" w:colLast="0"/>
      <w:bookmarkEnd w:id="1"/>
    </w:p>
    <w:p w14:paraId="4F6FFC1D" w14:textId="77777777" w:rsidR="009459B4" w:rsidRPr="009459B4" w:rsidRDefault="009459B4" w:rsidP="00AD0931">
      <w:pPr>
        <w:spacing w:after="0" w:line="240" w:lineRule="auto"/>
        <w:rPr>
          <w:rFonts w:ascii="Aptos" w:hAnsi="Aptos" w:cs="Arial"/>
          <w:lang w:val="sr-Cyrl-RS"/>
        </w:rPr>
      </w:pPr>
    </w:p>
    <w:p w14:paraId="1F7D52FB" w14:textId="5D11A74B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Cyrl-RS"/>
        </w:rPr>
      </w:pPr>
      <w:r w:rsidRPr="009459B4">
        <w:rPr>
          <w:rFonts w:ascii="Aptos" w:hAnsi="Aptos" w:cs="Arial"/>
          <w:i w:val="0"/>
          <w:iCs w:val="0"/>
          <w:color w:val="000000"/>
        </w:rPr>
        <w:t>2.3. ЕКОНОМСКА НЕОДРЖИВОСТ</w:t>
      </w:r>
    </w:p>
    <w:p w14:paraId="3B6A0BC4" w14:textId="77777777" w:rsidR="00AD0931" w:rsidRPr="009459B4" w:rsidRDefault="00AD0931" w:rsidP="00AD0931">
      <w:pPr>
        <w:spacing w:after="0" w:line="240" w:lineRule="auto"/>
        <w:rPr>
          <w:rFonts w:ascii="Aptos" w:hAnsi="Aptos" w:cs="Arial"/>
          <w:lang w:val="sr-Cyrl-RS"/>
        </w:rPr>
      </w:pPr>
    </w:p>
    <w:tbl>
      <w:tblPr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9"/>
        <w:gridCol w:w="3566"/>
        <w:gridCol w:w="2870"/>
      </w:tblGrid>
      <w:tr w:rsidR="00F3459E" w:rsidRPr="009459B4" w14:paraId="5087AD6F" w14:textId="77777777" w:rsidTr="00AD0931">
        <w:trPr>
          <w:trHeight w:val="567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533F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82B5A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економска референца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40F9D" w14:textId="77777777" w:rsidR="00F3459E" w:rsidRPr="009459B4" w:rsidRDefault="00F3459E" w:rsidP="00AD0931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9459B4" w14:paraId="2927E1EB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56C65" w14:textId="54FCE6CB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2.3.1.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>И</w:t>
            </w:r>
            <w:r w:rsidR="00215865" w:rsidRPr="009459B4">
              <w:rPr>
                <w:rFonts w:ascii="Aptos" w:hAnsi="Aptos" w:cs="Arial"/>
                <w:b/>
                <w:bCs/>
              </w:rPr>
              <w:t xml:space="preserve">зостављена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215865" w:rsidRPr="009459B4">
              <w:rPr>
                <w:rFonts w:ascii="Aptos" w:hAnsi="Aptos" w:cs="Arial"/>
                <w:b/>
                <w:bCs/>
              </w:rPr>
              <w:t>квантитативна анализа трошка пропуштене прилике (</w:t>
            </w:r>
            <w:r w:rsidR="00215865" w:rsidRPr="009459B4">
              <w:rPr>
                <w:rFonts w:ascii="Aptos" w:hAnsi="Aptos" w:cs="Arial"/>
                <w:b/>
                <w:bCs/>
                <w:i/>
                <w:iCs/>
              </w:rPr>
              <w:t>Opportunity Cost</w:t>
            </w:r>
            <w:r w:rsidR="00215865" w:rsidRPr="009459B4">
              <w:rPr>
                <w:rFonts w:ascii="Aptos" w:hAnsi="Aptos" w:cs="Arial"/>
                <w:b/>
                <w:bCs/>
              </w:rPr>
              <w:t>) која упоређује краткорочне економске користи са дугорочним одрживим развојем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C15D7" w14:textId="774A3EE9" w:rsidR="00F3459E" w:rsidRPr="009459B4" w:rsidRDefault="00215865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Елаборат није спровео квантитативну процену трошка пропуштене прилике (</w:t>
            </w:r>
            <w:r w:rsidRPr="009459B4">
              <w:rPr>
                <w:rFonts w:ascii="Aptos" w:hAnsi="Aptos" w:cs="Arial"/>
                <w:i/>
                <w:iCs/>
              </w:rPr>
              <w:t>Opportunity Cost</w:t>
            </w:r>
            <w:r w:rsidRPr="009459B4">
              <w:rPr>
                <w:rFonts w:ascii="Aptos" w:hAnsi="Aptos" w:cs="Arial"/>
              </w:rPr>
              <w:t>), односно упоређивање NCV (</w:t>
            </w:r>
            <w:r w:rsidRPr="009459B4">
              <w:rPr>
                <w:rFonts w:ascii="Aptos" w:hAnsi="Aptos" w:cs="Arial"/>
                <w:i/>
                <w:iCs/>
              </w:rPr>
              <w:t>Net Present Value</w:t>
            </w:r>
            <w:r w:rsidRPr="009459B4">
              <w:rPr>
                <w:rFonts w:ascii="Aptos" w:hAnsi="Aptos" w:cs="Arial"/>
              </w:rPr>
              <w:t>) краткорочног рударског периода (8 година) са дугорочним NCV одрживог развоја (30+ година) укључујући еко-туризам, национални парк и органску пољопривреду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EA6F6" w14:textId="56F674AA" w:rsidR="00F3459E" w:rsidRPr="009459B4" w:rsidRDefault="00215865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</w:rPr>
              <w:t>Захтева се израда детаљне студије трошка пропуштене прилике (</w:t>
            </w:r>
            <w:r w:rsidRPr="007C6438">
              <w:rPr>
                <w:rFonts w:ascii="Aptos" w:hAnsi="Aptos" w:cs="Arial"/>
                <w:i/>
                <w:iCs/>
              </w:rPr>
              <w:t>Opportunity Cost</w:t>
            </w:r>
            <w:r w:rsidRPr="009459B4">
              <w:rPr>
                <w:rFonts w:ascii="Aptos" w:hAnsi="Aptos" w:cs="Arial"/>
              </w:rPr>
              <w:t>), која ће служити као кључна основа за доношење стратешких и одрживих одлука у планирању простора</w:t>
            </w:r>
          </w:p>
        </w:tc>
      </w:tr>
      <w:tr w:rsidR="00F3459E" w:rsidRPr="008C541C" w14:paraId="5B5262E9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2B0D6" w14:textId="476D9840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b/>
                <w:bCs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</w:rPr>
              <w:lastRenderedPageBreak/>
              <w:t>2.3.2.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Неинтернализација екстерналија </w:t>
            </w:r>
            <w:r w:rsidR="0002744D" w:rsidRPr="009459B4">
              <w:rPr>
                <w:rFonts w:ascii="Aptos" w:hAnsi="Aptos" w:cs="Arial"/>
                <w:b/>
                <w:bCs/>
                <w:lang w:val="sr-Cyrl-RS"/>
              </w:rPr>
              <w:t>–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 пројекат не узима у обзир пуну економску, еколошку и социјалну цену својих утицаја на животну средину и локалну заједницу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6F1FC" w14:textId="4C5FA3A8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Финансијски модел не обухвата прецизно квантификоване трошкове негативних екстерналија, укључујући дугорочне трошкове здравствене заштите становништва и трајно смањење вредности приватне имовине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E2E49" w14:textId="00A115C2" w:rsidR="00F3459E" w:rsidRPr="009459B4" w:rsidRDefault="00C8145A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К</w:t>
            </w:r>
            <w:r w:rsidR="00247693" w:rsidRPr="009459B4">
              <w:rPr>
                <w:rFonts w:ascii="Aptos" w:hAnsi="Aptos" w:cs="Arial"/>
                <w:lang w:val="sr-Cyrl-RS"/>
              </w:rPr>
              <w:t>реирати експлицитан финансијски модел који у потпуности интернализује све екстерне трошкове, укључујући дугорочне здравствене трошкове, трајно смањење вредности имовине и губитак природног капитала</w:t>
            </w:r>
          </w:p>
        </w:tc>
      </w:tr>
      <w:tr w:rsidR="00F3459E" w:rsidRPr="008C541C" w14:paraId="0CE994CC" w14:textId="77777777" w:rsidTr="00505ECC">
        <w:trPr>
          <w:trHeight w:val="2783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96DEC" w14:textId="5A9C0F25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t>2.3.3</w:t>
            </w:r>
            <w:r w:rsidR="00247693" w:rsidRPr="009459B4">
              <w:rPr>
                <w:rFonts w:ascii="Aptos" w:hAnsi="Aptos" w:cs="Arial"/>
                <w:b/>
                <w:bCs/>
                <w:lang w:val="sr-Latn-RS"/>
              </w:rPr>
              <w:t xml:space="preserve">.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 xml:space="preserve">Изостављена </w:t>
            </w:r>
            <w:r w:rsidR="007C6438">
              <w:rPr>
                <w:rFonts w:ascii="Aptos" w:hAnsi="Aptos" w:cs="Arial"/>
                <w:b/>
                <w:bCs/>
                <w:lang w:val="sr-Cyrl-RS"/>
              </w:rPr>
              <w:t xml:space="preserve">је 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>анализа осетљивости (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Latn-RS"/>
              </w:rPr>
              <w:t>Sensitivity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Cyrl-RS"/>
              </w:rPr>
              <w:t xml:space="preserve"> </w:t>
            </w:r>
            <w:r w:rsidR="00247693" w:rsidRPr="009459B4">
              <w:rPr>
                <w:rFonts w:ascii="Aptos" w:hAnsi="Aptos" w:cs="Arial"/>
                <w:b/>
                <w:bCs/>
                <w:i/>
                <w:iCs/>
                <w:lang w:val="sr-Latn-RS"/>
              </w:rPr>
              <w:t>Analysis</w:t>
            </w:r>
            <w:r w:rsidR="00247693" w:rsidRPr="009459B4">
              <w:rPr>
                <w:rFonts w:ascii="Aptos" w:hAnsi="Aptos" w:cs="Arial"/>
                <w:b/>
                <w:bCs/>
                <w:lang w:val="sr-Cyrl-RS"/>
              </w:rPr>
              <w:t>), неопходна за процену варијабилности резултата финансијског модела у зависности од промена кључних параметара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AB214" w14:textId="076BE013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Не постоји јавна анализа тачке покрића (</w:t>
            </w:r>
            <w:r w:rsidRPr="009459B4">
              <w:rPr>
                <w:rFonts w:ascii="Aptos" w:hAnsi="Aptos" w:cs="Arial"/>
                <w:i/>
                <w:iCs/>
              </w:rPr>
              <w:t>Breakeven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Point</w:t>
            </w:r>
            <w:r w:rsidRPr="009459B4">
              <w:rPr>
                <w:rFonts w:ascii="Aptos" w:hAnsi="Aptos" w:cs="Arial"/>
                <w:lang w:val="sr-Cyrl-RS"/>
              </w:rPr>
              <w:t>), цене злата при којој пројекат постаје неисплатив, што је критично за процену ризика од превременог напуштања пројекта од стране инвеститора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7DB7" w14:textId="1AD76AA0" w:rsidR="00F3459E" w:rsidRPr="009459B4" w:rsidRDefault="0024769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Укључити анализу осетљивости (</w:t>
            </w:r>
            <w:r w:rsidRPr="009459B4">
              <w:rPr>
                <w:rFonts w:ascii="Aptos" w:hAnsi="Aptos" w:cs="Arial"/>
                <w:i/>
                <w:iCs/>
              </w:rPr>
              <w:t>Sensitivity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Analysis</w:t>
            </w:r>
            <w:r w:rsidRPr="009459B4">
              <w:rPr>
                <w:rFonts w:ascii="Aptos" w:hAnsi="Aptos" w:cs="Arial"/>
                <w:lang w:val="sr-Cyrl-RS"/>
              </w:rPr>
              <w:t>) која обухвата сценарије пада цена метала, раста трошкова енергије и увођења нових еколошких такси, како би се проценио утицај ових фактора на финансијску одрживост пројекта</w:t>
            </w:r>
          </w:p>
        </w:tc>
      </w:tr>
    </w:tbl>
    <w:p w14:paraId="196B8112" w14:textId="77777777" w:rsidR="00C94CA2" w:rsidRPr="009459B4" w:rsidRDefault="00C94CA2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b w:val="0"/>
          <w:bCs w:val="0"/>
          <w:i w:val="0"/>
          <w:iCs w:val="0"/>
          <w:color w:val="000000"/>
          <w:lang w:val="sr-Cyrl-RS"/>
        </w:rPr>
      </w:pPr>
      <w:bookmarkStart w:id="2" w:name="_1ncq1debrgjg" w:colFirst="0" w:colLast="0"/>
      <w:bookmarkEnd w:id="2"/>
    </w:p>
    <w:p w14:paraId="297299DC" w14:textId="77777777" w:rsidR="00505ECC" w:rsidRPr="009459B4" w:rsidRDefault="00505ECC" w:rsidP="00505ECC">
      <w:pPr>
        <w:spacing w:after="0" w:line="240" w:lineRule="auto"/>
        <w:rPr>
          <w:rFonts w:ascii="Aptos" w:hAnsi="Aptos" w:cs="Arial"/>
          <w:lang w:val="sr-Cyrl-RS"/>
        </w:rPr>
      </w:pPr>
    </w:p>
    <w:p w14:paraId="6A8E50F6" w14:textId="4F39F65B" w:rsidR="00F3459E" w:rsidRPr="009459B4" w:rsidRDefault="00F3459E" w:rsidP="000D34E1">
      <w:pPr>
        <w:pStyle w:val="Heading4"/>
        <w:keepNext w:val="0"/>
        <w:keepLines w:val="0"/>
        <w:spacing w:before="0" w:line="240" w:lineRule="auto"/>
        <w:rPr>
          <w:rFonts w:ascii="Aptos" w:hAnsi="Aptos" w:cs="Arial"/>
          <w:i w:val="0"/>
          <w:iCs w:val="0"/>
          <w:color w:val="000000"/>
          <w:lang w:val="sr-Cyrl-RS"/>
        </w:rPr>
      </w:pPr>
      <w:r w:rsidRPr="009459B4">
        <w:rPr>
          <w:rFonts w:ascii="Aptos" w:hAnsi="Aptos" w:cs="Arial"/>
          <w:i w:val="0"/>
          <w:iCs w:val="0"/>
          <w:color w:val="000000"/>
        </w:rPr>
        <w:t>2.4. СОЦИЈАЛНИ И ЕТИЧКИ РИЗИ</w:t>
      </w:r>
      <w:r w:rsidR="0067135D" w:rsidRPr="009459B4">
        <w:rPr>
          <w:rFonts w:ascii="Aptos" w:hAnsi="Aptos" w:cs="Arial"/>
          <w:i w:val="0"/>
          <w:iCs w:val="0"/>
          <w:color w:val="000000"/>
          <w:lang w:val="sr-Cyrl-RS"/>
        </w:rPr>
        <w:t>ЦИ</w:t>
      </w:r>
    </w:p>
    <w:p w14:paraId="2AB80642" w14:textId="77777777" w:rsidR="0002744D" w:rsidRPr="009459B4" w:rsidRDefault="0002744D" w:rsidP="0002744D">
      <w:pPr>
        <w:spacing w:after="0" w:line="240" w:lineRule="auto"/>
        <w:rPr>
          <w:rFonts w:ascii="Aptos" w:hAnsi="Aptos" w:cs="Arial"/>
          <w:lang w:val="sr-Cyrl-RS"/>
        </w:rPr>
      </w:pPr>
    </w:p>
    <w:tbl>
      <w:tblPr>
        <w:tblW w:w="9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305"/>
        <w:gridCol w:w="3260"/>
      </w:tblGrid>
      <w:tr w:rsidR="00F3459E" w:rsidRPr="009459B4" w14:paraId="0B522086" w14:textId="77777777" w:rsidTr="0002744D">
        <w:trPr>
          <w:trHeight w:val="567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4D07F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Примедба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F7DE4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Опис и етичка референца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6114" w14:textId="77777777" w:rsidR="00F3459E" w:rsidRPr="009459B4" w:rsidRDefault="00F3459E" w:rsidP="0002744D">
            <w:pPr>
              <w:spacing w:after="0" w:line="240" w:lineRule="auto"/>
              <w:jc w:val="center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>Захтев за корекцијом</w:t>
            </w:r>
          </w:p>
        </w:tc>
      </w:tr>
      <w:tr w:rsidR="00F3459E" w:rsidRPr="008C541C" w14:paraId="57722808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66981" w14:textId="53736276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</w:rPr>
            </w:pPr>
            <w:r w:rsidRPr="009459B4">
              <w:rPr>
                <w:rFonts w:ascii="Aptos" w:hAnsi="Aptos" w:cs="Arial"/>
                <w:b/>
                <w:bCs/>
              </w:rPr>
              <w:t xml:space="preserve">2.4.1. </w:t>
            </w:r>
            <w:r w:rsidR="0067135D" w:rsidRPr="009459B4">
              <w:rPr>
                <w:rFonts w:ascii="Aptos" w:hAnsi="Aptos" w:cs="Arial"/>
                <w:b/>
                <w:bCs/>
              </w:rPr>
              <w:t>Ризик губитка друштвене дозволе за рад (</w:t>
            </w:r>
            <w:r w:rsidR="0067135D" w:rsidRPr="007C6438">
              <w:rPr>
                <w:rFonts w:ascii="Aptos" w:hAnsi="Aptos" w:cs="Arial"/>
                <w:b/>
                <w:bCs/>
                <w:i/>
                <w:iCs/>
              </w:rPr>
              <w:t>Social Licence to Operate</w:t>
            </w:r>
            <w:r w:rsidR="0067135D" w:rsidRPr="009459B4">
              <w:rPr>
                <w:rFonts w:ascii="Aptos" w:hAnsi="Aptos" w:cs="Arial"/>
                <w:b/>
                <w:bCs/>
              </w:rPr>
              <w:t>, SLO) услед непотпуног учешћа јавности, недостатка транспарентности и неизвршене стратешке процене утицаја на животну средину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A55E0" w14:textId="58FE887C" w:rsidR="00F3459E" w:rsidRPr="009459B4" w:rsidRDefault="0067135D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</w:rPr>
              <w:t>Искључење најближих насеља (нпр. Лазница, Жагубица) из формалног обухвата Плана онемогућава њихову пуну партиципацију и директно поткопава друштвену дозволу за рад (</w:t>
            </w:r>
            <w:r w:rsidRPr="007C6438">
              <w:rPr>
                <w:rFonts w:ascii="Aptos" w:hAnsi="Aptos" w:cs="Arial"/>
                <w:i/>
                <w:iCs/>
              </w:rPr>
              <w:t>Social Licence to Operate</w:t>
            </w:r>
            <w:r w:rsidRPr="009459B4">
              <w:rPr>
                <w:rFonts w:ascii="Aptos" w:hAnsi="Aptos" w:cs="Arial"/>
              </w:rPr>
              <w:t>, SLO)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D4E4F" w14:textId="4C5D99BF" w:rsidR="00F3459E" w:rsidRPr="009459B4" w:rsidRDefault="0067135D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Проширити обухват Плана на све зоне потенцијалног директног утицаја и обезбедити континуирано и законито учешће представника локалних заједница у свим фазама планирања и одлучивања</w:t>
            </w:r>
          </w:p>
        </w:tc>
      </w:tr>
      <w:tr w:rsidR="00F3459E" w:rsidRPr="008C541C" w14:paraId="04BDD9B6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69425" w14:textId="7589BABD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lastRenderedPageBreak/>
              <w:t>2.4.2. Недостатак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 xml:space="preserve"> базне</w:t>
            </w:r>
            <w:r w:rsidRPr="009459B4">
              <w:rPr>
                <w:rFonts w:ascii="Aptos" w:hAnsi="Aptos" w:cs="Arial"/>
                <w:b/>
                <w:bCs/>
                <w:lang w:val="sr-Cyrl-RS"/>
              </w:rPr>
              <w:t xml:space="preserve"> 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>(</w:t>
            </w:r>
            <w:r w:rsidRPr="009459B4">
              <w:rPr>
                <w:rFonts w:ascii="Aptos" w:hAnsi="Aptos" w:cs="Arial"/>
                <w:b/>
                <w:bCs/>
                <w:i/>
                <w:iCs/>
              </w:rPr>
              <w:t>Baseline</w:t>
            </w:r>
            <w:r w:rsidR="00F955FE" w:rsidRPr="009459B4">
              <w:rPr>
                <w:rFonts w:ascii="Aptos" w:hAnsi="Aptos" w:cs="Arial"/>
                <w:b/>
                <w:bCs/>
                <w:i/>
                <w:iCs/>
                <w:lang w:val="sr-Cyrl-RS"/>
              </w:rPr>
              <w:t xml:space="preserve">) </w:t>
            </w:r>
            <w:r w:rsidRPr="009459B4">
              <w:rPr>
                <w:rFonts w:ascii="Aptos" w:hAnsi="Aptos" w:cs="Arial"/>
                <w:b/>
                <w:bCs/>
                <w:lang w:val="sr-Cyrl-RS"/>
              </w:rPr>
              <w:t>студије здра</w:t>
            </w:r>
            <w:r w:rsidR="00F955FE" w:rsidRPr="009459B4">
              <w:rPr>
                <w:rFonts w:ascii="Aptos" w:hAnsi="Aptos" w:cs="Arial"/>
                <w:b/>
                <w:bCs/>
                <w:lang w:val="sr-Cyrl-RS"/>
              </w:rPr>
              <w:t>вственог стања за локалну популацију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E3618" w14:textId="73735778" w:rsidR="00F3459E" w:rsidRPr="009459B4" w:rsidRDefault="00F955F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Елаборат наводи обавезу израде годишњих извештаја о здрављу становништва, што индиректно указује на постојање потенцијалних ризика. Међутим, не постоји почетна базна студија (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>Baseline Health Study</w:t>
            </w:r>
            <w:r w:rsidRPr="009459B4">
              <w:rPr>
                <w:rFonts w:ascii="Aptos" w:hAnsi="Aptos" w:cs="Arial"/>
                <w:lang w:val="sr-Cyrl-RS"/>
              </w:rPr>
              <w:t xml:space="preserve">) која би омогућила прецизну процену утицаја пројекта на здравље локалног становништва.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E0AB7" w14:textId="1D5442E3" w:rsidR="00F3459E" w:rsidRPr="009459B4" w:rsidRDefault="00F955F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Хитна израда независне базне студије (</w:t>
            </w:r>
            <w:r w:rsidRPr="009459B4">
              <w:rPr>
                <w:rFonts w:ascii="Aptos" w:hAnsi="Aptos" w:cs="Arial"/>
                <w:i/>
                <w:iCs/>
              </w:rPr>
              <w:t>Baseline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Health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Study</w:t>
            </w:r>
            <w:r w:rsidRPr="009459B4">
              <w:rPr>
                <w:rFonts w:ascii="Aptos" w:hAnsi="Aptos" w:cs="Arial"/>
                <w:lang w:val="sr-Cyrl-RS"/>
              </w:rPr>
              <w:t>) о здрављу локалног становништва пре почетка било каквих радова, како би се омогућила прецизна процена и будућа контрола потенцијалних утицаја пројекта на здравље јавности.</w:t>
            </w:r>
          </w:p>
        </w:tc>
      </w:tr>
      <w:tr w:rsidR="00F3459E" w:rsidRPr="008C541C" w14:paraId="3E9401B1" w14:textId="77777777" w:rsidTr="00505ECC">
        <w:trPr>
          <w:trHeight w:val="2783"/>
        </w:trPr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5DCAF" w14:textId="26B6A208" w:rsidR="00F3459E" w:rsidRPr="009459B4" w:rsidRDefault="00F3459E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b/>
                <w:bCs/>
                <w:lang w:val="sr-Cyrl-RS"/>
              </w:rPr>
              <w:t xml:space="preserve">2.4.3. </w:t>
            </w:r>
            <w:r w:rsidR="00136643" w:rsidRPr="009459B4">
              <w:rPr>
                <w:rFonts w:ascii="Aptos" w:hAnsi="Aptos" w:cs="Arial"/>
                <w:b/>
                <w:bCs/>
                <w:lang w:val="sr-Cyrl-RS"/>
              </w:rPr>
              <w:t>Неравноправна расподела ризика и користи пројекта међу различитим друштвеним групама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FD694" w14:textId="5A44BFC3" w:rsidR="00F3459E" w:rsidRPr="009459B4" w:rsidRDefault="0013664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Краткорочна економска добит од рударског пројекта (8 година) не може етички оправдати трајни терет, дугорочне еколошке ризике и негативне последице по будуће генерације.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7BDAB" w14:textId="257105B1" w:rsidR="00F3459E" w:rsidRPr="009459B4" w:rsidRDefault="00136643" w:rsidP="0002744D">
            <w:pPr>
              <w:spacing w:after="0" w:line="240" w:lineRule="auto"/>
              <w:rPr>
                <w:rFonts w:ascii="Aptos" w:hAnsi="Aptos" w:cs="Arial"/>
                <w:lang w:val="sr-Cyrl-RS"/>
              </w:rPr>
            </w:pPr>
            <w:r w:rsidRPr="009459B4">
              <w:rPr>
                <w:rFonts w:ascii="Aptos" w:hAnsi="Aptos" w:cs="Arial"/>
                <w:lang w:val="sr-Cyrl-RS"/>
              </w:rPr>
              <w:t>Захтевамо примену најбољих пракси (</w:t>
            </w:r>
            <w:r w:rsidRPr="009459B4">
              <w:rPr>
                <w:rFonts w:ascii="Aptos" w:hAnsi="Aptos" w:cs="Arial"/>
                <w:i/>
                <w:iCs/>
              </w:rPr>
              <w:t>Best</w:t>
            </w:r>
            <w:r w:rsidRPr="009459B4">
              <w:rPr>
                <w:rFonts w:ascii="Aptos" w:hAnsi="Aptos" w:cs="Arial"/>
                <w:i/>
                <w:iCs/>
                <w:lang w:val="sr-Cyrl-RS"/>
              </w:rPr>
              <w:t xml:space="preserve"> </w:t>
            </w:r>
            <w:r w:rsidRPr="009459B4">
              <w:rPr>
                <w:rFonts w:ascii="Aptos" w:hAnsi="Aptos" w:cs="Arial"/>
                <w:i/>
                <w:iCs/>
              </w:rPr>
              <w:t>Practices</w:t>
            </w:r>
            <w:r w:rsidRPr="009459B4">
              <w:rPr>
                <w:rFonts w:ascii="Aptos" w:hAnsi="Aptos" w:cs="Arial"/>
                <w:lang w:val="sr-Cyrl-RS"/>
              </w:rPr>
              <w:t>) у области компензације, које укључују: праведну и адекватну надокнаду за трајно смањење вредности имовине локалне заједнице, као и за неповратни губитак природног капитала и екосистемских услуга.</w:t>
            </w:r>
          </w:p>
        </w:tc>
      </w:tr>
    </w:tbl>
    <w:p w14:paraId="5299A38E" w14:textId="77777777" w:rsidR="006701BB" w:rsidRPr="009459B4" w:rsidRDefault="006701BB" w:rsidP="000D34E1">
      <w:pPr>
        <w:spacing w:after="0" w:line="240" w:lineRule="auto"/>
        <w:rPr>
          <w:rFonts w:ascii="Aptos" w:hAnsi="Aptos" w:cs="Arial"/>
          <w:lang w:val="sr-Cyrl-RS"/>
        </w:rPr>
      </w:pPr>
    </w:p>
    <w:p w14:paraId="4D6F3AC2" w14:textId="77777777" w:rsidR="00136643" w:rsidRPr="009459B4" w:rsidRDefault="00136643" w:rsidP="000D34E1">
      <w:pPr>
        <w:spacing w:after="0" w:line="240" w:lineRule="auto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b/>
          <w:bCs/>
          <w:lang w:val="sr-Latn-RS"/>
        </w:rPr>
        <w:t>Општи закључак:</w:t>
      </w:r>
    </w:p>
    <w:p w14:paraId="50DCE1B4" w14:textId="77777777" w:rsidR="0002744D" w:rsidRPr="009459B4" w:rsidRDefault="0002744D" w:rsidP="000D34E1">
      <w:pPr>
        <w:spacing w:after="0" w:line="240" w:lineRule="auto"/>
        <w:rPr>
          <w:rFonts w:ascii="Aptos" w:hAnsi="Aptos" w:cs="Arial"/>
          <w:lang w:val="sr-Cyrl-RS"/>
        </w:rPr>
      </w:pPr>
    </w:p>
    <w:p w14:paraId="3F2DF7F2" w14:textId="220027F3" w:rsidR="00136643" w:rsidRPr="009459B4" w:rsidRDefault="00136643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  <w:r w:rsidRPr="009459B4">
        <w:rPr>
          <w:rFonts w:ascii="Aptos" w:eastAsia="Times New Roman" w:hAnsi="Aptos" w:cs="Arial"/>
          <w:lang w:val="sr-Latn-RS" w:eastAsia="sr-Latn-RS"/>
        </w:rPr>
        <w:t>Концептуални материјал за израду Просторног плана подручја посебне намене (ППППН) рудног лежишта „Чока Ракита“ у рејону Црног врха</w:t>
      </w:r>
      <w:r w:rsidRPr="009459B4">
        <w:rPr>
          <w:rFonts w:ascii="Aptos" w:hAnsi="Aptos" w:cs="Arial"/>
          <w:lang w:val="sr-Latn-RS"/>
        </w:rPr>
        <w:t xml:space="preserve"> показује низ критичних недостатка у поступку планирања и процене утицаја на животну средину и локалну заједницу. Елаборат није извршио квантитативну процену трошка пропуштене прилике (</w:t>
      </w:r>
      <w:r w:rsidRPr="009459B4">
        <w:rPr>
          <w:rFonts w:ascii="Aptos" w:hAnsi="Aptos" w:cs="Arial"/>
          <w:i/>
          <w:iCs/>
          <w:lang w:val="sr-Latn-RS"/>
        </w:rPr>
        <w:t>Opportunity Cost</w:t>
      </w:r>
      <w:r w:rsidRPr="009459B4">
        <w:rPr>
          <w:rFonts w:ascii="Aptos" w:hAnsi="Aptos" w:cs="Arial"/>
          <w:lang w:val="sr-Latn-RS"/>
        </w:rPr>
        <w:t>), упоређујући краткорочну добит од рударства са дугорочним економским и еколошким користима одрживог развоја, као што су еко-туризам, органска пољопривреда</w:t>
      </w:r>
      <w:r w:rsidRPr="009459B4">
        <w:rPr>
          <w:rFonts w:ascii="Aptos" w:hAnsi="Aptos" w:cs="Arial"/>
          <w:lang w:val="sr-Cyrl-RS"/>
        </w:rPr>
        <w:t>, чиста вода</w:t>
      </w:r>
      <w:r w:rsidRPr="009459B4">
        <w:rPr>
          <w:rFonts w:ascii="Aptos" w:hAnsi="Aptos" w:cs="Arial"/>
          <w:lang w:val="sr-Latn-RS"/>
        </w:rPr>
        <w:t>.</w:t>
      </w:r>
    </w:p>
    <w:p w14:paraId="533D5884" w14:textId="77777777" w:rsidR="0002744D" w:rsidRPr="009459B4" w:rsidRDefault="0002744D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</w:p>
    <w:p w14:paraId="618DE617" w14:textId="77777777" w:rsidR="00136643" w:rsidRPr="009459B4" w:rsidRDefault="00136643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lang w:val="sr-Latn-RS"/>
        </w:rPr>
        <w:t xml:space="preserve">Недостатак независне базне студије здравља становништва и ослањање на годишње извештаје индиректно признаје постојање ризика, али не омогућава прецизну процену и контролу будућих утицаја. </w:t>
      </w:r>
      <w:r w:rsidRPr="009459B4">
        <w:rPr>
          <w:rFonts w:ascii="Aptos" w:hAnsi="Aptos" w:cs="Arial"/>
          <w:b/>
          <w:bCs/>
          <w:lang w:val="sr-Latn-RS"/>
        </w:rPr>
        <w:t>Пројекат ствара етички диспаритет, где локална заједница сноси већину ризика, док економске користи добијају други актери, и крши принцип интергенерацијске правде јер краткорочна добит не може етички оправдати трајне еколошке ризике за будуће генерације.</w:t>
      </w:r>
    </w:p>
    <w:p w14:paraId="2142041A" w14:textId="77777777" w:rsidR="00505ECC" w:rsidRPr="009459B4" w:rsidRDefault="00505ECC" w:rsidP="000D34E1">
      <w:pPr>
        <w:spacing w:after="0" w:line="240" w:lineRule="auto"/>
        <w:jc w:val="both"/>
        <w:rPr>
          <w:rFonts w:ascii="Aptos" w:hAnsi="Aptos" w:cs="Arial"/>
          <w:lang w:val="sr-Cyrl-RS"/>
        </w:rPr>
      </w:pPr>
    </w:p>
    <w:p w14:paraId="6F7C9E96" w14:textId="55E876EC" w:rsidR="00136643" w:rsidRDefault="00136643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9459B4">
        <w:rPr>
          <w:rFonts w:ascii="Aptos" w:hAnsi="Aptos" w:cs="Arial"/>
          <w:lang w:val="sr-Latn-RS"/>
        </w:rPr>
        <w:t>Да би се обезбедила законитост, транспарентност и одрживост, неоп</w:t>
      </w:r>
      <w:r w:rsidRPr="009459B4">
        <w:rPr>
          <w:rFonts w:ascii="Aptos" w:hAnsi="Aptos" w:cs="Arial"/>
          <w:lang w:val="sr-Cyrl-RS"/>
        </w:rPr>
        <w:t>ходно је</w:t>
      </w:r>
      <w:r w:rsidRPr="009459B4">
        <w:rPr>
          <w:rFonts w:ascii="Aptos" w:hAnsi="Aptos" w:cs="Arial"/>
          <w:lang w:val="sr-Latn-RS"/>
        </w:rPr>
        <w:t xml:space="preserve"> обуставити тренутни рани јавни увид</w:t>
      </w:r>
      <w:r w:rsidR="00447732">
        <w:rPr>
          <w:rFonts w:ascii="Aptos" w:hAnsi="Aptos" w:cs="Arial"/>
          <w:lang w:val="sr-Cyrl-RS"/>
        </w:rPr>
        <w:t xml:space="preserve"> и уопште процес израде ППППН рудног лежишта „Чока Ракита“</w:t>
      </w:r>
      <w:r w:rsidRPr="009459B4">
        <w:rPr>
          <w:rFonts w:ascii="Aptos" w:hAnsi="Aptos" w:cs="Arial"/>
          <w:lang w:val="sr-Latn-RS"/>
        </w:rPr>
        <w:t xml:space="preserve"> док се све мере не спроведу у складу са најбољом праксом и правним оквиром.</w:t>
      </w:r>
      <w:r w:rsidR="0010541B" w:rsidRPr="009459B4">
        <w:rPr>
          <w:rFonts w:ascii="Aptos" w:hAnsi="Aptos" w:cs="Arial"/>
          <w:lang w:val="sr-Cyrl-RS"/>
        </w:rPr>
        <w:t xml:space="preserve"> </w:t>
      </w:r>
      <w:r w:rsidR="0010541B" w:rsidRPr="009459B4">
        <w:rPr>
          <w:rFonts w:ascii="Aptos" w:hAnsi="Aptos" w:cs="Arial"/>
          <w:b/>
          <w:bCs/>
          <w:lang w:val="sr-Cyrl-RS"/>
        </w:rPr>
        <w:t>Тек након тога и потпуног и законитог учешћа локалне заједнице и грађана, може се приступити</w:t>
      </w:r>
      <w:r w:rsidR="00447732">
        <w:rPr>
          <w:rFonts w:ascii="Aptos" w:hAnsi="Aptos" w:cs="Arial"/>
          <w:b/>
          <w:bCs/>
          <w:lang w:val="sr-Cyrl-RS"/>
        </w:rPr>
        <w:t xml:space="preserve"> </w:t>
      </w:r>
      <w:r w:rsidR="0010541B" w:rsidRPr="009459B4">
        <w:rPr>
          <w:rFonts w:ascii="Aptos" w:hAnsi="Aptos" w:cs="Arial"/>
          <w:b/>
          <w:bCs/>
          <w:lang w:val="sr-Cyrl-RS"/>
        </w:rPr>
        <w:t xml:space="preserve">одлучивању о </w:t>
      </w:r>
      <w:r w:rsidR="00297A9B" w:rsidRPr="009459B4">
        <w:rPr>
          <w:rFonts w:ascii="Aptos" w:hAnsi="Aptos" w:cs="Arial"/>
          <w:b/>
          <w:bCs/>
          <w:lang w:val="sr-Cyrl-RS"/>
        </w:rPr>
        <w:t xml:space="preserve">намени овог </w:t>
      </w:r>
      <w:r w:rsidR="0010541B" w:rsidRPr="009459B4">
        <w:rPr>
          <w:rFonts w:ascii="Aptos" w:hAnsi="Aptos" w:cs="Arial"/>
          <w:b/>
          <w:bCs/>
          <w:lang w:val="sr-Cyrl-RS"/>
        </w:rPr>
        <w:t>простор</w:t>
      </w:r>
      <w:r w:rsidR="00297A9B" w:rsidRPr="009459B4">
        <w:rPr>
          <w:rFonts w:ascii="Aptos" w:hAnsi="Aptos" w:cs="Arial"/>
          <w:b/>
          <w:bCs/>
          <w:lang w:val="sr-Cyrl-RS"/>
        </w:rPr>
        <w:t>а</w:t>
      </w:r>
      <w:r w:rsidR="0010541B" w:rsidRPr="009459B4">
        <w:rPr>
          <w:rFonts w:ascii="Aptos" w:hAnsi="Aptos" w:cs="Arial"/>
          <w:b/>
          <w:bCs/>
          <w:lang w:val="sr-Cyrl-RS"/>
        </w:rPr>
        <w:t xml:space="preserve"> и усвајању Просторног плана подручја посебне намене.</w:t>
      </w:r>
    </w:p>
    <w:p w14:paraId="629E281D" w14:textId="77777777" w:rsidR="00B138B2" w:rsidRDefault="00B138B2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</w:p>
    <w:p w14:paraId="0C4CEF12" w14:textId="79D337F9" w:rsidR="00B138B2" w:rsidRPr="00B138B2" w:rsidRDefault="00B138B2" w:rsidP="000D34E1">
      <w:pPr>
        <w:spacing w:after="0" w:line="240" w:lineRule="auto"/>
        <w:jc w:val="both"/>
        <w:rPr>
          <w:rFonts w:ascii="Aptos" w:hAnsi="Aptos" w:cs="Arial"/>
          <w:b/>
          <w:bCs/>
          <w:lang w:val="sr-Cyrl-RS"/>
        </w:rPr>
      </w:pPr>
      <w:r w:rsidRPr="00B138B2">
        <w:rPr>
          <w:rFonts w:ascii="Aptos" w:hAnsi="Aptos" w:cs="Arial"/>
          <w:b/>
          <w:bCs/>
          <w:lang w:val="sr-Cyrl-RS"/>
        </w:rPr>
        <w:lastRenderedPageBreak/>
        <w:t>Елаборат који је представљен у оквиру раног јавног увида не пружа ни минимално уверљиве доказе који би оправдали овакав пројекат. Напротив</w:t>
      </w:r>
      <w:r>
        <w:rPr>
          <w:rFonts w:ascii="Aptos" w:hAnsi="Aptos" w:cs="Arial"/>
          <w:b/>
          <w:bCs/>
          <w:lang w:val="sr-Cyrl-RS"/>
        </w:rPr>
        <w:t>,</w:t>
      </w:r>
      <w:r w:rsidRPr="00B138B2">
        <w:rPr>
          <w:rFonts w:ascii="Aptos" w:hAnsi="Aptos" w:cs="Arial"/>
          <w:b/>
          <w:bCs/>
          <w:lang w:val="sr-Cyrl-RS"/>
        </w:rPr>
        <w:t xml:space="preserve"> расположиве чињенице убедљиво говоре у прилог томе да овај крај </w:t>
      </w:r>
      <w:r>
        <w:rPr>
          <w:rFonts w:ascii="Aptos" w:hAnsi="Aptos" w:cs="Arial"/>
          <w:b/>
          <w:bCs/>
          <w:lang w:val="sr-Cyrl-RS"/>
        </w:rPr>
        <w:t xml:space="preserve">треба да се </w:t>
      </w:r>
      <w:r w:rsidRPr="00B138B2">
        <w:rPr>
          <w:rFonts w:ascii="Aptos" w:hAnsi="Aptos" w:cs="Arial"/>
          <w:b/>
          <w:bCs/>
          <w:lang w:val="sr-Cyrl-RS"/>
        </w:rPr>
        <w:t>развија у потпуно другачијем смеру</w:t>
      </w:r>
      <w:r>
        <w:rPr>
          <w:rFonts w:ascii="Aptos" w:hAnsi="Aptos" w:cs="Arial"/>
          <w:b/>
          <w:bCs/>
          <w:lang w:val="sr-Cyrl-RS"/>
        </w:rPr>
        <w:t>,</w:t>
      </w:r>
      <w:r w:rsidRPr="00B138B2">
        <w:rPr>
          <w:rFonts w:ascii="Aptos" w:hAnsi="Aptos" w:cs="Arial"/>
          <w:b/>
          <w:bCs/>
          <w:lang w:val="sr-Cyrl-RS"/>
        </w:rPr>
        <w:t xml:space="preserve"> кроз очување природних вредности</w:t>
      </w:r>
      <w:r>
        <w:rPr>
          <w:rFonts w:ascii="Aptos" w:hAnsi="Aptos" w:cs="Arial"/>
          <w:b/>
          <w:bCs/>
          <w:lang w:val="sr-Cyrl-RS"/>
        </w:rPr>
        <w:t xml:space="preserve">, </w:t>
      </w:r>
      <w:r w:rsidRPr="00B138B2">
        <w:rPr>
          <w:rFonts w:ascii="Aptos" w:hAnsi="Aptos" w:cs="Arial"/>
          <w:b/>
          <w:bCs/>
          <w:lang w:val="sr-Cyrl-RS"/>
        </w:rPr>
        <w:t>моделе одрживости, и обезбеђивање дугорочно здравог живота локалних заједница у хармонији са природним процесима.</w:t>
      </w:r>
    </w:p>
    <w:p w14:paraId="6F2E4F0A" w14:textId="514B364E" w:rsidR="006701BB" w:rsidRPr="009459B4" w:rsidRDefault="006701BB" w:rsidP="000D34E1">
      <w:pPr>
        <w:spacing w:after="0" w:line="240" w:lineRule="auto"/>
        <w:jc w:val="both"/>
        <w:rPr>
          <w:rFonts w:ascii="Aptos" w:hAnsi="Aptos" w:cs="Arial"/>
          <w:lang w:val="sr-Latn-RS"/>
        </w:rPr>
      </w:pPr>
    </w:p>
    <w:sectPr w:rsidR="006701BB" w:rsidRPr="009459B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CD79" w14:textId="77777777" w:rsidR="00F23C30" w:rsidRDefault="00F23C30" w:rsidP="00375C79">
      <w:pPr>
        <w:spacing w:after="0" w:line="240" w:lineRule="auto"/>
      </w:pPr>
      <w:r>
        <w:separator/>
      </w:r>
    </w:p>
  </w:endnote>
  <w:endnote w:type="continuationSeparator" w:id="0">
    <w:p w14:paraId="2E747A64" w14:textId="77777777" w:rsidR="00F23C30" w:rsidRDefault="00F23C30" w:rsidP="0037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242666"/>
      <w:docPartObj>
        <w:docPartGallery w:val="Page Numbers (Bottom of Page)"/>
        <w:docPartUnique/>
      </w:docPartObj>
    </w:sdtPr>
    <w:sdtContent>
      <w:p w14:paraId="609190CA" w14:textId="5B195E40" w:rsidR="00375C79" w:rsidRDefault="00375C7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r-Latn-RS"/>
          </w:rPr>
          <w:t>2</w:t>
        </w:r>
        <w:r>
          <w:fldChar w:fldCharType="end"/>
        </w:r>
      </w:p>
    </w:sdtContent>
  </w:sdt>
  <w:p w14:paraId="2A7AD05D" w14:textId="77777777" w:rsidR="00375C79" w:rsidRDefault="00375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62E5" w14:textId="77777777" w:rsidR="00F23C30" w:rsidRDefault="00F23C30" w:rsidP="00375C79">
      <w:pPr>
        <w:spacing w:after="0" w:line="240" w:lineRule="auto"/>
      </w:pPr>
      <w:r>
        <w:separator/>
      </w:r>
    </w:p>
  </w:footnote>
  <w:footnote w:type="continuationSeparator" w:id="0">
    <w:p w14:paraId="72B23004" w14:textId="77777777" w:rsidR="00F23C30" w:rsidRDefault="00F23C30" w:rsidP="00375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726E2"/>
    <w:multiLevelType w:val="hybridMultilevel"/>
    <w:tmpl w:val="1E5E86DC"/>
    <w:lvl w:ilvl="0" w:tplc="EACC3AB2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37FA6"/>
    <w:multiLevelType w:val="multilevel"/>
    <w:tmpl w:val="D2D4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226D1"/>
    <w:multiLevelType w:val="hybridMultilevel"/>
    <w:tmpl w:val="C5C473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31FA9"/>
    <w:multiLevelType w:val="multilevel"/>
    <w:tmpl w:val="8A14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02529"/>
    <w:multiLevelType w:val="multilevel"/>
    <w:tmpl w:val="87C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866089">
    <w:abstractNumId w:val="8"/>
  </w:num>
  <w:num w:numId="2" w16cid:durableId="453065471">
    <w:abstractNumId w:val="6"/>
  </w:num>
  <w:num w:numId="3" w16cid:durableId="1635987018">
    <w:abstractNumId w:val="5"/>
  </w:num>
  <w:num w:numId="4" w16cid:durableId="1326737563">
    <w:abstractNumId w:val="4"/>
  </w:num>
  <w:num w:numId="5" w16cid:durableId="1993217155">
    <w:abstractNumId w:val="7"/>
  </w:num>
  <w:num w:numId="6" w16cid:durableId="262078758">
    <w:abstractNumId w:val="3"/>
  </w:num>
  <w:num w:numId="7" w16cid:durableId="1490289514">
    <w:abstractNumId w:val="2"/>
  </w:num>
  <w:num w:numId="8" w16cid:durableId="467282399">
    <w:abstractNumId w:val="1"/>
  </w:num>
  <w:num w:numId="9" w16cid:durableId="1382168437">
    <w:abstractNumId w:val="0"/>
  </w:num>
  <w:num w:numId="10" w16cid:durableId="1965236146">
    <w:abstractNumId w:val="12"/>
  </w:num>
  <w:num w:numId="11" w16cid:durableId="1066220570">
    <w:abstractNumId w:val="11"/>
  </w:num>
  <w:num w:numId="12" w16cid:durableId="195504759">
    <w:abstractNumId w:val="10"/>
  </w:num>
  <w:num w:numId="13" w16cid:durableId="1138491467">
    <w:abstractNumId w:val="9"/>
  </w:num>
  <w:num w:numId="14" w16cid:durableId="1224951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08B"/>
    <w:rsid w:val="00021BE0"/>
    <w:rsid w:val="0002744D"/>
    <w:rsid w:val="00034616"/>
    <w:rsid w:val="00045CDC"/>
    <w:rsid w:val="00047817"/>
    <w:rsid w:val="0006063C"/>
    <w:rsid w:val="000D34E1"/>
    <w:rsid w:val="000E5955"/>
    <w:rsid w:val="000F0379"/>
    <w:rsid w:val="0010541B"/>
    <w:rsid w:val="001209E8"/>
    <w:rsid w:val="00136643"/>
    <w:rsid w:val="001373AB"/>
    <w:rsid w:val="0015074B"/>
    <w:rsid w:val="001B1A08"/>
    <w:rsid w:val="001B1B6E"/>
    <w:rsid w:val="00215865"/>
    <w:rsid w:val="002340C4"/>
    <w:rsid w:val="00247693"/>
    <w:rsid w:val="00277CFE"/>
    <w:rsid w:val="0029639D"/>
    <w:rsid w:val="00297A9B"/>
    <w:rsid w:val="002F6D98"/>
    <w:rsid w:val="003049EE"/>
    <w:rsid w:val="00323C1F"/>
    <w:rsid w:val="00326F90"/>
    <w:rsid w:val="00375C79"/>
    <w:rsid w:val="00377B07"/>
    <w:rsid w:val="003825E7"/>
    <w:rsid w:val="003A7462"/>
    <w:rsid w:val="003C48E5"/>
    <w:rsid w:val="00414AC1"/>
    <w:rsid w:val="00447732"/>
    <w:rsid w:val="00482558"/>
    <w:rsid w:val="004E1388"/>
    <w:rsid w:val="00502B6A"/>
    <w:rsid w:val="00505ECC"/>
    <w:rsid w:val="00553586"/>
    <w:rsid w:val="00575274"/>
    <w:rsid w:val="005E45C7"/>
    <w:rsid w:val="005E7C51"/>
    <w:rsid w:val="006701BB"/>
    <w:rsid w:val="0067135D"/>
    <w:rsid w:val="00672034"/>
    <w:rsid w:val="006A6664"/>
    <w:rsid w:val="006B70AE"/>
    <w:rsid w:val="006D5C6F"/>
    <w:rsid w:val="007045CA"/>
    <w:rsid w:val="00717C57"/>
    <w:rsid w:val="00783B67"/>
    <w:rsid w:val="00795128"/>
    <w:rsid w:val="007C6438"/>
    <w:rsid w:val="008A7D07"/>
    <w:rsid w:val="008B3770"/>
    <w:rsid w:val="008C541C"/>
    <w:rsid w:val="0092223F"/>
    <w:rsid w:val="00935288"/>
    <w:rsid w:val="009371D9"/>
    <w:rsid w:val="009376AE"/>
    <w:rsid w:val="009459B4"/>
    <w:rsid w:val="00975269"/>
    <w:rsid w:val="0097606F"/>
    <w:rsid w:val="00A0044A"/>
    <w:rsid w:val="00AA1D8D"/>
    <w:rsid w:val="00AD0931"/>
    <w:rsid w:val="00B01899"/>
    <w:rsid w:val="00B138B2"/>
    <w:rsid w:val="00B37DEA"/>
    <w:rsid w:val="00B47730"/>
    <w:rsid w:val="00B621CE"/>
    <w:rsid w:val="00B73D1F"/>
    <w:rsid w:val="00C8145A"/>
    <w:rsid w:val="00C94CA2"/>
    <w:rsid w:val="00CB0664"/>
    <w:rsid w:val="00CB76CC"/>
    <w:rsid w:val="00D177AD"/>
    <w:rsid w:val="00D7524F"/>
    <w:rsid w:val="00D83C90"/>
    <w:rsid w:val="00D948A8"/>
    <w:rsid w:val="00E21F8C"/>
    <w:rsid w:val="00E418E9"/>
    <w:rsid w:val="00EA35AD"/>
    <w:rsid w:val="00F2253D"/>
    <w:rsid w:val="00F23C30"/>
    <w:rsid w:val="00F3459E"/>
    <w:rsid w:val="00F76406"/>
    <w:rsid w:val="00F82430"/>
    <w:rsid w:val="00F851E9"/>
    <w:rsid w:val="00F955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01F44"/>
  <w14:defaultImageDpi w14:val="300"/>
  <w15:docId w15:val="{5150706D-41EC-4284-A773-95D30755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64060b05-f5d5-4a30-b6f9-6422cd6e646a</TitusGUID>
  <TitusMetadata xmlns="">eyJucyI6Imh0dHA6XC9cL3d3dy50aXR1cy5jb21cL25zXC9UZWxla29tIFNlcmJpYSIsInByb3BzIjpbeyJuIjoiS0xBU0lGSUtBQ0lKQSIsInZhbHMiOlt7InZhbHVlIjoiTmlqZVBvc2xvdm5hVGFqbmEifV19LHsibiI6IlBvZEtsYXNFa3N0ZXJubyIsInZhbHMiOltdfV19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57DC8-EEBE-40D5-B067-C7C130378D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1572</Words>
  <Characters>10088</Characters>
  <Application>Microsoft Office Word</Application>
  <DocSecurity>0</DocSecurity>
  <Lines>428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Klasifikacija: Nije poslovna tajna</cp:keywords>
  <dc:description>generated by python-docx</dc:description>
  <cp:lastModifiedBy>Zoran Karić</cp:lastModifiedBy>
  <cp:revision>2</cp:revision>
  <dcterms:created xsi:type="dcterms:W3CDTF">2025-12-11T14:16:00Z</dcterms:created>
  <dcterms:modified xsi:type="dcterms:W3CDTF">2025-12-11T14:16:00Z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64060b05-f5d5-4a30-b6f9-6422cd6e646a</vt:lpwstr>
  </property>
  <property fmtid="{D5CDD505-2E9C-101B-9397-08002B2CF9AE}" pid="3" name="TelekomSerbiaKLASIFIKACIJA">
    <vt:lpwstr>NijePoslovnaTajna</vt:lpwstr>
  </property>
</Properties>
</file>